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B6815" w14:textId="77777777" w:rsidR="00EE09E3" w:rsidRPr="00EE09E3" w:rsidRDefault="00EE09E3" w:rsidP="00463277">
      <w:pPr>
        <w:spacing w:line="360" w:lineRule="auto"/>
        <w:jc w:val="center"/>
        <w:textAlignment w:val="baseline"/>
        <w:rPr>
          <w:rFonts w:ascii="Arial" w:eastAsia="Times New Roman" w:hAnsi="Arial" w:cs="Arial"/>
          <w:sz w:val="18"/>
          <w:szCs w:val="18"/>
          <w:lang w:eastAsia="en-GB"/>
        </w:rPr>
      </w:pPr>
      <w:r w:rsidRPr="00EE09E3">
        <w:rPr>
          <w:rFonts w:ascii="Calibri" w:eastAsia="Times New Roman" w:hAnsi="Calibri" w:cs="Calibri"/>
          <w:sz w:val="22"/>
          <w:szCs w:val="22"/>
          <w:u w:val="single"/>
          <w:lang w:val="en-GB" w:eastAsia="en-GB"/>
        </w:rPr>
        <w:t>“The WHO’s International Health Regulations are not fit for purpose.” Discuss.</w:t>
      </w:r>
      <w:r w:rsidRPr="00EE09E3">
        <w:rPr>
          <w:rFonts w:ascii="Calibri" w:eastAsia="Times New Roman" w:hAnsi="Calibri" w:cs="Calibri"/>
          <w:sz w:val="22"/>
          <w:szCs w:val="22"/>
          <w:lang w:eastAsia="en-GB"/>
        </w:rPr>
        <w:t> </w:t>
      </w:r>
    </w:p>
    <w:p w14:paraId="6CB4AF44" w14:textId="77777777" w:rsidR="00EE09E3" w:rsidRPr="00EE09E3" w:rsidRDefault="00EE09E3" w:rsidP="00463277">
      <w:pPr>
        <w:spacing w:line="360" w:lineRule="auto"/>
        <w:jc w:val="both"/>
        <w:textAlignment w:val="baseline"/>
        <w:rPr>
          <w:rFonts w:ascii="Arial" w:eastAsia="Times New Roman" w:hAnsi="Arial" w:cs="Arial"/>
          <w:sz w:val="18"/>
          <w:szCs w:val="18"/>
          <w:lang w:eastAsia="en-GB"/>
        </w:rPr>
      </w:pPr>
      <w:r w:rsidRPr="00EE09E3">
        <w:rPr>
          <w:rFonts w:ascii="Calibri" w:eastAsia="Times New Roman" w:hAnsi="Calibri" w:cs="Calibri"/>
          <w:sz w:val="22"/>
          <w:szCs w:val="22"/>
          <w:lang w:eastAsia="en-GB"/>
        </w:rPr>
        <w:t> </w:t>
      </w:r>
    </w:p>
    <w:p w14:paraId="0C149B7C" w14:textId="7F30B7A0" w:rsidR="006102DB" w:rsidRPr="006102DB" w:rsidRDefault="00EE09E3" w:rsidP="00463277">
      <w:pPr>
        <w:pStyle w:val="ListParagraph"/>
        <w:numPr>
          <w:ilvl w:val="0"/>
          <w:numId w:val="63"/>
        </w:numPr>
        <w:spacing w:line="360" w:lineRule="auto"/>
        <w:jc w:val="both"/>
        <w:textAlignment w:val="baseline"/>
        <w:rPr>
          <w:rFonts w:ascii="Calibri" w:eastAsia="Times New Roman" w:hAnsi="Calibri" w:cs="Calibri"/>
          <w:sz w:val="22"/>
          <w:szCs w:val="22"/>
          <w:lang w:eastAsia="en-GB"/>
        </w:rPr>
      </w:pPr>
      <w:r w:rsidRPr="004E071A">
        <w:rPr>
          <w:rFonts w:ascii="Calibri" w:eastAsia="Times New Roman" w:hAnsi="Calibri" w:cs="Calibri"/>
          <w:sz w:val="22"/>
          <w:szCs w:val="22"/>
          <w:lang w:val="en-GB" w:eastAsia="en-GB"/>
        </w:rPr>
        <w:t>It has been suggested that a political shock is needed to bring about chang</w:t>
      </w:r>
      <w:bookmarkStart w:id="0" w:name="_GoBack"/>
      <w:bookmarkEnd w:id="0"/>
      <w:r w:rsidRPr="004E071A">
        <w:rPr>
          <w:rFonts w:ascii="Calibri" w:eastAsia="Times New Roman" w:hAnsi="Calibri" w:cs="Calibri"/>
          <w:sz w:val="22"/>
          <w:szCs w:val="22"/>
          <w:lang w:val="en-GB" w:eastAsia="en-GB"/>
        </w:rPr>
        <w:t>e in international law.</w:t>
      </w:r>
      <w:r w:rsidR="00F9343A">
        <w:rPr>
          <w:rStyle w:val="FootnoteReference"/>
          <w:rFonts w:ascii="Calibri" w:eastAsia="Times New Roman" w:hAnsi="Calibri" w:cs="Calibri"/>
          <w:sz w:val="22"/>
          <w:szCs w:val="22"/>
          <w:lang w:val="en-GB" w:eastAsia="en-GB"/>
        </w:rPr>
        <w:footnoteReference w:id="1"/>
      </w:r>
      <w:r w:rsidR="00F9343A" w:rsidRPr="004E071A">
        <w:rPr>
          <w:rFonts w:ascii="Calibri" w:eastAsia="Times New Roman" w:hAnsi="Calibri" w:cs="Calibri"/>
          <w:sz w:val="17"/>
          <w:szCs w:val="17"/>
          <w:vertAlign w:val="superscript"/>
          <w:lang w:val="en-GB" w:eastAsia="en-GB"/>
        </w:rPr>
        <w:t xml:space="preserve"> </w:t>
      </w:r>
      <w:r w:rsidRPr="004E071A">
        <w:rPr>
          <w:rFonts w:ascii="Calibri" w:eastAsia="Times New Roman" w:hAnsi="Calibri" w:cs="Calibri"/>
          <w:sz w:val="22"/>
          <w:szCs w:val="22"/>
          <w:lang w:val="en-GB" w:eastAsia="en-GB"/>
        </w:rPr>
        <w:t>The SARS pandemic of 2003 was the political shock that refocused international attention on finalising the International Health Regulations 2005 (‘IHR</w:t>
      </w:r>
      <w:r w:rsidR="00C43430" w:rsidRPr="004E071A">
        <w:rPr>
          <w:rFonts w:ascii="Calibri" w:eastAsia="Times New Roman" w:hAnsi="Calibri" w:cs="Calibri"/>
          <w:sz w:val="22"/>
          <w:szCs w:val="22"/>
          <w:lang w:val="en-GB" w:eastAsia="en-GB"/>
        </w:rPr>
        <w:t>’</w:t>
      </w:r>
      <w:r w:rsidRPr="004E071A">
        <w:rPr>
          <w:rFonts w:ascii="Calibri" w:eastAsia="Times New Roman" w:hAnsi="Calibri" w:cs="Calibri"/>
          <w:sz w:val="22"/>
          <w:szCs w:val="22"/>
          <w:lang w:val="en-GB" w:eastAsia="en-GB"/>
        </w:rPr>
        <w:t>)</w:t>
      </w:r>
      <w:r w:rsidR="00A329CB">
        <w:rPr>
          <w:rFonts w:ascii="Calibri" w:eastAsia="Times New Roman" w:hAnsi="Calibri" w:cs="Calibri"/>
          <w:sz w:val="22"/>
          <w:szCs w:val="22"/>
          <w:lang w:val="en-GB" w:eastAsia="en-GB"/>
        </w:rPr>
        <w:t xml:space="preserve">, </w:t>
      </w:r>
      <w:r w:rsidR="0068746F">
        <w:rPr>
          <w:rFonts w:ascii="Calibri" w:eastAsia="Times New Roman" w:hAnsi="Calibri" w:cs="Calibri"/>
          <w:sz w:val="22"/>
          <w:szCs w:val="22"/>
          <w:lang w:val="en-GB" w:eastAsia="en-GB"/>
        </w:rPr>
        <w:t xml:space="preserve">a </w:t>
      </w:r>
      <w:r w:rsidR="0034461A">
        <w:rPr>
          <w:rFonts w:ascii="Calibri" w:eastAsia="Times New Roman" w:hAnsi="Calibri" w:cs="Calibri"/>
          <w:sz w:val="22"/>
          <w:szCs w:val="22"/>
          <w:lang w:val="en-GB" w:eastAsia="en-GB"/>
        </w:rPr>
        <w:t xml:space="preserve">legally binding instrument </w:t>
      </w:r>
      <w:r w:rsidR="001A2744">
        <w:rPr>
          <w:rFonts w:ascii="Calibri" w:eastAsia="Times New Roman" w:hAnsi="Calibri" w:cs="Calibri"/>
          <w:sz w:val="22"/>
          <w:szCs w:val="22"/>
          <w:lang w:val="en-GB" w:eastAsia="en-GB"/>
        </w:rPr>
        <w:t>with the aim of</w:t>
      </w:r>
      <w:r w:rsidR="005A02F7">
        <w:rPr>
          <w:rFonts w:ascii="Calibri" w:eastAsia="Times New Roman" w:hAnsi="Calibri" w:cs="Calibri"/>
          <w:sz w:val="22"/>
          <w:szCs w:val="22"/>
          <w:lang w:val="en-GB" w:eastAsia="en-GB"/>
        </w:rPr>
        <w:t xml:space="preserve"> </w:t>
      </w:r>
      <w:r w:rsidR="001A2744">
        <w:rPr>
          <w:rFonts w:ascii="Calibri" w:eastAsia="Times New Roman" w:hAnsi="Calibri" w:cs="Calibri"/>
          <w:sz w:val="22"/>
          <w:szCs w:val="22"/>
          <w:lang w:val="en-GB" w:eastAsia="en-GB"/>
        </w:rPr>
        <w:t>p</w:t>
      </w:r>
      <w:r w:rsidR="005A02F7">
        <w:rPr>
          <w:rFonts w:ascii="Calibri" w:eastAsia="Times New Roman" w:hAnsi="Calibri" w:cs="Calibri"/>
          <w:sz w:val="22"/>
          <w:szCs w:val="22"/>
          <w:lang w:val="en-GB" w:eastAsia="en-GB"/>
        </w:rPr>
        <w:t>revent</w:t>
      </w:r>
      <w:r w:rsidR="001A2744">
        <w:rPr>
          <w:rFonts w:ascii="Calibri" w:eastAsia="Times New Roman" w:hAnsi="Calibri" w:cs="Calibri"/>
          <w:sz w:val="22"/>
          <w:szCs w:val="22"/>
          <w:lang w:val="en-GB" w:eastAsia="en-GB"/>
        </w:rPr>
        <w:t>ing</w:t>
      </w:r>
      <w:r w:rsidR="005A02F7">
        <w:rPr>
          <w:rFonts w:ascii="Calibri" w:eastAsia="Times New Roman" w:hAnsi="Calibri" w:cs="Calibri"/>
          <w:sz w:val="22"/>
          <w:szCs w:val="22"/>
          <w:lang w:val="en-GB" w:eastAsia="en-GB"/>
        </w:rPr>
        <w:t xml:space="preserve"> the international spread of disease</w:t>
      </w:r>
      <w:r w:rsidR="00662273">
        <w:rPr>
          <w:rFonts w:ascii="Calibri" w:eastAsia="Times New Roman" w:hAnsi="Calibri" w:cs="Calibri"/>
          <w:sz w:val="22"/>
          <w:szCs w:val="22"/>
          <w:lang w:val="en-GB" w:eastAsia="en-GB"/>
        </w:rPr>
        <w:t xml:space="preserve"> that was already in its eighth year of negotiations. </w:t>
      </w:r>
      <w:r w:rsidRPr="004E071A">
        <w:rPr>
          <w:rFonts w:ascii="Calibri" w:eastAsia="Times New Roman" w:hAnsi="Calibri" w:cs="Calibri"/>
          <w:sz w:val="22"/>
          <w:szCs w:val="22"/>
          <w:lang w:val="en-GB" w:eastAsia="en-GB"/>
        </w:rPr>
        <w:t>There had been a growing appreciation that</w:t>
      </w:r>
      <w:r w:rsidR="00AC6987">
        <w:rPr>
          <w:rFonts w:ascii="Calibri" w:eastAsia="Times New Roman" w:hAnsi="Calibri" w:cs="Calibri"/>
          <w:sz w:val="22"/>
          <w:szCs w:val="22"/>
          <w:lang w:val="en-GB" w:eastAsia="en-GB"/>
        </w:rPr>
        <w:t xml:space="preserve"> the realities of modern </w:t>
      </w:r>
      <w:proofErr w:type="gramStart"/>
      <w:r w:rsidR="00AC6987">
        <w:rPr>
          <w:rFonts w:ascii="Calibri" w:eastAsia="Times New Roman" w:hAnsi="Calibri" w:cs="Calibri"/>
          <w:sz w:val="22"/>
          <w:szCs w:val="22"/>
          <w:lang w:val="en-GB" w:eastAsia="en-GB"/>
        </w:rPr>
        <w:t>life</w:t>
      </w:r>
      <w:r w:rsidRPr="004E071A">
        <w:rPr>
          <w:rFonts w:ascii="Calibri" w:eastAsia="Times New Roman" w:hAnsi="Calibri" w:cs="Calibri"/>
          <w:sz w:val="22"/>
          <w:szCs w:val="22"/>
          <w:lang w:val="en-GB" w:eastAsia="en-GB"/>
        </w:rPr>
        <w:t> </w:t>
      </w:r>
      <w:r w:rsidR="00AC6987" w:rsidRPr="004E071A">
        <w:rPr>
          <w:rFonts w:ascii="Calibri" w:eastAsia="Times New Roman" w:hAnsi="Calibri" w:cs="Calibri"/>
          <w:sz w:val="22"/>
          <w:szCs w:val="22"/>
          <w:lang w:val="en-GB" w:eastAsia="en-GB"/>
        </w:rPr>
        <w:t xml:space="preserve"> </w:t>
      </w:r>
      <w:r w:rsidRPr="004E071A">
        <w:rPr>
          <w:rFonts w:ascii="Calibri" w:eastAsia="Times New Roman" w:hAnsi="Calibri" w:cs="Calibri"/>
          <w:sz w:val="22"/>
          <w:szCs w:val="22"/>
          <w:lang w:val="en-GB" w:eastAsia="en-GB"/>
        </w:rPr>
        <w:t>made</w:t>
      </w:r>
      <w:proofErr w:type="gramEnd"/>
      <w:r w:rsidRPr="004E071A">
        <w:rPr>
          <w:rFonts w:ascii="Calibri" w:eastAsia="Times New Roman" w:hAnsi="Calibri" w:cs="Calibri"/>
          <w:sz w:val="22"/>
          <w:szCs w:val="22"/>
          <w:lang w:val="en-GB" w:eastAsia="en-GB"/>
        </w:rPr>
        <w:t> the</w:t>
      </w:r>
      <w:r w:rsidR="00B24345">
        <w:rPr>
          <w:rFonts w:ascii="Calibri" w:eastAsia="Times New Roman" w:hAnsi="Calibri" w:cs="Calibri"/>
          <w:sz w:val="22"/>
          <w:szCs w:val="22"/>
          <w:lang w:val="en-GB" w:eastAsia="en-GB"/>
        </w:rPr>
        <w:t xml:space="preserve"> </w:t>
      </w:r>
      <w:r w:rsidRPr="004E071A">
        <w:rPr>
          <w:rFonts w:ascii="Calibri" w:eastAsia="Times New Roman" w:hAnsi="Calibri" w:cs="Calibri"/>
          <w:sz w:val="22"/>
          <w:szCs w:val="22"/>
          <w:lang w:val="en-GB" w:eastAsia="en-GB"/>
        </w:rPr>
        <w:t>spread of communicable diseases a </w:t>
      </w:r>
      <w:r w:rsidR="00AC6987">
        <w:rPr>
          <w:rFonts w:ascii="Calibri" w:eastAsia="Times New Roman" w:hAnsi="Calibri" w:cs="Calibri"/>
          <w:sz w:val="22"/>
          <w:szCs w:val="22"/>
          <w:lang w:val="en-GB" w:eastAsia="en-GB"/>
        </w:rPr>
        <w:t xml:space="preserve"> tangible, global </w:t>
      </w:r>
      <w:r w:rsidRPr="004E071A">
        <w:rPr>
          <w:rFonts w:ascii="Calibri" w:eastAsia="Times New Roman" w:hAnsi="Calibri" w:cs="Calibri"/>
          <w:sz w:val="22"/>
          <w:szCs w:val="22"/>
          <w:lang w:val="en-GB" w:eastAsia="en-GB"/>
        </w:rPr>
        <w:t>threat, but the SARS outbreak demonstrated the immediacy of that threat. A decade and a half later, another airborne respiratory virus has provided a rude awakening</w:t>
      </w:r>
      <w:r w:rsidR="00E7128C" w:rsidRPr="004E071A">
        <w:rPr>
          <w:rFonts w:ascii="Calibri" w:eastAsia="Times New Roman" w:hAnsi="Calibri" w:cs="Calibri"/>
          <w:sz w:val="22"/>
          <w:szCs w:val="22"/>
          <w:lang w:val="en-GB" w:eastAsia="en-GB"/>
        </w:rPr>
        <w:t xml:space="preserve"> as</w:t>
      </w:r>
      <w:r w:rsidR="00AC6987">
        <w:rPr>
          <w:rFonts w:ascii="Calibri" w:eastAsia="Times New Roman" w:hAnsi="Calibri" w:cs="Calibri"/>
          <w:sz w:val="22"/>
          <w:szCs w:val="22"/>
          <w:lang w:val="en-GB" w:eastAsia="en-GB"/>
        </w:rPr>
        <w:t xml:space="preserve"> to</w:t>
      </w:r>
      <w:r w:rsidRPr="004E071A">
        <w:rPr>
          <w:rFonts w:ascii="Calibri" w:eastAsia="Times New Roman" w:hAnsi="Calibri" w:cs="Calibri"/>
          <w:sz w:val="22"/>
          <w:szCs w:val="22"/>
          <w:lang w:val="en-GB" w:eastAsia="en-GB"/>
        </w:rPr>
        <w:t xml:space="preserve"> the severity and longevity of</w:t>
      </w:r>
      <w:r w:rsidR="00033599">
        <w:rPr>
          <w:rFonts w:ascii="Calibri" w:eastAsia="Times New Roman" w:hAnsi="Calibri" w:cs="Calibri"/>
          <w:sz w:val="22"/>
          <w:szCs w:val="22"/>
          <w:lang w:val="en-GB" w:eastAsia="en-GB"/>
        </w:rPr>
        <w:t xml:space="preserve"> </w:t>
      </w:r>
      <w:r w:rsidRPr="004E071A">
        <w:rPr>
          <w:rFonts w:ascii="Calibri" w:eastAsia="Times New Roman" w:hAnsi="Calibri" w:cs="Calibri"/>
          <w:sz w:val="22"/>
          <w:szCs w:val="22"/>
          <w:lang w:val="en-GB" w:eastAsia="en-GB"/>
        </w:rPr>
        <w:t>a pandemic’s impact.</w:t>
      </w:r>
      <w:r w:rsidR="00033599">
        <w:rPr>
          <w:rFonts w:ascii="Calibri" w:eastAsia="Times New Roman" w:hAnsi="Calibri" w:cs="Calibri"/>
          <w:sz w:val="22"/>
          <w:szCs w:val="22"/>
          <w:lang w:val="en-GB" w:eastAsia="en-GB"/>
        </w:rPr>
        <w:t xml:space="preserve"> </w:t>
      </w:r>
      <w:r w:rsidRPr="004E071A">
        <w:rPr>
          <w:rFonts w:ascii="Calibri" w:eastAsia="Times New Roman" w:hAnsi="Calibri" w:cs="Calibri"/>
          <w:sz w:val="22"/>
          <w:szCs w:val="22"/>
          <w:lang w:val="en-GB" w:eastAsia="en-GB"/>
        </w:rPr>
        <w:t>As we approach the seventh month of social distancing and lockdown measures, the question has to be asked: </w:t>
      </w:r>
      <w:r w:rsidR="006F0E2F" w:rsidRPr="004E071A">
        <w:rPr>
          <w:rFonts w:ascii="Calibri" w:eastAsia="Times New Roman" w:hAnsi="Calibri" w:cs="Calibri"/>
          <w:sz w:val="22"/>
          <w:szCs w:val="22"/>
          <w:lang w:val="en-GB" w:eastAsia="en-GB"/>
        </w:rPr>
        <w:t xml:space="preserve">are the International Health Regulations </w:t>
      </w:r>
      <w:r w:rsidR="00B870F3" w:rsidRPr="004E071A">
        <w:rPr>
          <w:rFonts w:ascii="Calibri" w:eastAsia="Times New Roman" w:hAnsi="Calibri" w:cs="Calibri"/>
          <w:sz w:val="22"/>
          <w:szCs w:val="22"/>
          <w:lang w:val="en-GB" w:eastAsia="en-GB"/>
        </w:rPr>
        <w:t>fit for purpose?</w:t>
      </w:r>
    </w:p>
    <w:p w14:paraId="73A22C24" w14:textId="77777777" w:rsidR="006102DB" w:rsidRPr="006102DB" w:rsidRDefault="006102DB" w:rsidP="006102DB">
      <w:pPr>
        <w:pStyle w:val="ListParagraph"/>
        <w:spacing w:line="360" w:lineRule="auto"/>
        <w:ind w:left="360"/>
        <w:jc w:val="both"/>
        <w:textAlignment w:val="baseline"/>
        <w:rPr>
          <w:rFonts w:ascii="Calibri" w:eastAsia="Times New Roman" w:hAnsi="Calibri" w:cs="Calibri"/>
          <w:sz w:val="22"/>
          <w:szCs w:val="22"/>
          <w:lang w:eastAsia="en-GB"/>
        </w:rPr>
      </w:pPr>
    </w:p>
    <w:p w14:paraId="14E2BF04" w14:textId="0EB4CF53" w:rsidR="004E071A" w:rsidRDefault="0083236F" w:rsidP="00463277">
      <w:pPr>
        <w:pStyle w:val="ListParagraph"/>
        <w:numPr>
          <w:ilvl w:val="0"/>
          <w:numId w:val="63"/>
        </w:numPr>
        <w:spacing w:line="360" w:lineRule="auto"/>
        <w:jc w:val="both"/>
        <w:textAlignment w:val="baseline"/>
        <w:rPr>
          <w:rFonts w:ascii="Calibri" w:eastAsia="Times New Roman" w:hAnsi="Calibri" w:cs="Calibri"/>
          <w:sz w:val="22"/>
          <w:szCs w:val="22"/>
          <w:lang w:eastAsia="en-GB"/>
        </w:rPr>
      </w:pPr>
      <w:r w:rsidRPr="004E071A">
        <w:rPr>
          <w:rFonts w:ascii="Calibri" w:eastAsia="Times New Roman" w:hAnsi="Calibri" w:cs="Calibri"/>
          <w:sz w:val="22"/>
          <w:szCs w:val="22"/>
          <w:lang w:val="en-GB" w:eastAsia="en-GB"/>
        </w:rPr>
        <w:t xml:space="preserve">Boasting 192 signatory states, the IHR is a truly global agreement. </w:t>
      </w:r>
      <w:r w:rsidR="008A4AFA" w:rsidRPr="004E071A">
        <w:rPr>
          <w:rFonts w:ascii="Calibri" w:eastAsia="Times New Roman" w:hAnsi="Calibri" w:cs="Calibri"/>
          <w:sz w:val="22"/>
          <w:szCs w:val="22"/>
          <w:lang w:val="en-GB" w:eastAsia="en-GB"/>
        </w:rPr>
        <w:t>However, what at first glance appears to be a testament to the IHR’s success</w:t>
      </w:r>
      <w:r w:rsidR="002D2D33" w:rsidRPr="004E071A">
        <w:rPr>
          <w:rFonts w:ascii="Calibri" w:eastAsia="Times New Roman" w:hAnsi="Calibri" w:cs="Calibri"/>
          <w:sz w:val="22"/>
          <w:szCs w:val="22"/>
          <w:lang w:val="en-GB" w:eastAsia="en-GB"/>
        </w:rPr>
        <w:t xml:space="preserve"> is actually </w:t>
      </w:r>
      <w:r w:rsidR="002D2D33" w:rsidRPr="00416600">
        <w:rPr>
          <w:rFonts w:ascii="Calibri" w:eastAsia="Times New Roman" w:hAnsi="Calibri" w:cs="Calibri"/>
          <w:sz w:val="22"/>
          <w:szCs w:val="22"/>
          <w:lang w:val="en-GB" w:eastAsia="en-GB"/>
        </w:rPr>
        <w:t>symptomatic</w:t>
      </w:r>
      <w:r w:rsidR="00743639" w:rsidRPr="004E071A">
        <w:rPr>
          <w:rFonts w:ascii="Calibri" w:eastAsia="Times New Roman" w:hAnsi="Calibri" w:cs="Calibri"/>
          <w:sz w:val="22"/>
          <w:szCs w:val="22"/>
          <w:lang w:val="en-GB" w:eastAsia="en-GB"/>
        </w:rPr>
        <w:t xml:space="preserve"> of its underlying weakness</w:t>
      </w:r>
      <w:r w:rsidR="00646657" w:rsidRPr="004E071A">
        <w:rPr>
          <w:rFonts w:ascii="Calibri" w:eastAsia="Times New Roman" w:hAnsi="Calibri" w:cs="Calibri"/>
          <w:sz w:val="22"/>
          <w:szCs w:val="22"/>
          <w:lang w:val="en-GB" w:eastAsia="en-GB"/>
        </w:rPr>
        <w:t>:</w:t>
      </w:r>
      <w:r w:rsidR="00743639" w:rsidRPr="004E071A">
        <w:rPr>
          <w:rFonts w:ascii="Calibri" w:eastAsia="Times New Roman" w:hAnsi="Calibri" w:cs="Calibri"/>
          <w:sz w:val="22"/>
          <w:szCs w:val="22"/>
          <w:lang w:val="en-GB" w:eastAsia="en-GB"/>
        </w:rPr>
        <w:t xml:space="preserve"> </w:t>
      </w:r>
      <w:r w:rsidR="00646657" w:rsidRPr="004E071A">
        <w:rPr>
          <w:rFonts w:ascii="Calibri" w:eastAsia="Times New Roman" w:hAnsi="Calibri" w:cs="Calibri"/>
          <w:sz w:val="22"/>
          <w:szCs w:val="22"/>
          <w:lang w:val="en-GB" w:eastAsia="en-GB"/>
        </w:rPr>
        <w:t>the</w:t>
      </w:r>
      <w:r w:rsidR="00743639" w:rsidRPr="004E071A">
        <w:rPr>
          <w:rFonts w:ascii="Calibri" w:eastAsia="Times New Roman" w:hAnsi="Calibri" w:cs="Calibri"/>
          <w:sz w:val="22"/>
          <w:szCs w:val="22"/>
          <w:lang w:val="en-GB" w:eastAsia="en-GB"/>
        </w:rPr>
        <w:t xml:space="preserve"> lack of </w:t>
      </w:r>
      <w:r w:rsidR="009677DD" w:rsidRPr="004E071A">
        <w:rPr>
          <w:rFonts w:ascii="Calibri" w:eastAsia="Times New Roman" w:hAnsi="Calibri" w:cs="Calibri"/>
          <w:sz w:val="22"/>
          <w:szCs w:val="22"/>
          <w:lang w:val="en-GB" w:eastAsia="en-GB"/>
        </w:rPr>
        <w:t>concrete enforcement mechanisms</w:t>
      </w:r>
      <w:r w:rsidR="00A1111C" w:rsidRPr="004E071A">
        <w:rPr>
          <w:rFonts w:ascii="Calibri" w:eastAsia="Times New Roman" w:hAnsi="Calibri" w:cs="Calibri"/>
          <w:sz w:val="22"/>
          <w:szCs w:val="22"/>
          <w:lang w:val="en-GB" w:eastAsia="en-GB"/>
        </w:rPr>
        <w:t xml:space="preserve">. </w:t>
      </w:r>
      <w:r w:rsidR="00B30FA1">
        <w:rPr>
          <w:rFonts w:ascii="Calibri" w:eastAsia="Times New Roman" w:hAnsi="Calibri" w:cs="Calibri"/>
          <w:sz w:val="22"/>
          <w:szCs w:val="22"/>
          <w:lang w:val="en-GB" w:eastAsia="en-GB"/>
        </w:rPr>
        <w:t>It would be misguided, however, to</w:t>
      </w:r>
      <w:r w:rsidR="007E2E4F">
        <w:rPr>
          <w:rFonts w:ascii="Calibri" w:eastAsia="Times New Roman" w:hAnsi="Calibri" w:cs="Calibri"/>
          <w:sz w:val="22"/>
          <w:szCs w:val="22"/>
          <w:lang w:val="en-GB" w:eastAsia="en-GB"/>
        </w:rPr>
        <w:t xml:space="preserve"> assert that </w:t>
      </w:r>
      <w:r w:rsidR="0034587F">
        <w:rPr>
          <w:rFonts w:ascii="Calibri" w:eastAsia="Times New Roman" w:hAnsi="Calibri" w:cs="Calibri"/>
          <w:sz w:val="22"/>
          <w:szCs w:val="22"/>
          <w:lang w:val="en-GB" w:eastAsia="en-GB"/>
        </w:rPr>
        <w:t>this weakness render</w:t>
      </w:r>
      <w:r w:rsidR="007E2E4F">
        <w:rPr>
          <w:rFonts w:ascii="Calibri" w:eastAsia="Times New Roman" w:hAnsi="Calibri" w:cs="Calibri"/>
          <w:sz w:val="22"/>
          <w:szCs w:val="22"/>
          <w:lang w:val="en-GB" w:eastAsia="en-GB"/>
        </w:rPr>
        <w:t>s</w:t>
      </w:r>
      <w:r w:rsidR="0034587F">
        <w:rPr>
          <w:rFonts w:ascii="Calibri" w:eastAsia="Times New Roman" w:hAnsi="Calibri" w:cs="Calibri"/>
          <w:sz w:val="22"/>
          <w:szCs w:val="22"/>
          <w:lang w:val="en-GB" w:eastAsia="en-GB"/>
        </w:rPr>
        <w:t xml:space="preserve"> the IHR unfit for purpose. Properly implemented, </w:t>
      </w:r>
      <w:r w:rsidR="0086349A">
        <w:rPr>
          <w:rFonts w:ascii="Calibri" w:eastAsia="Times New Roman" w:hAnsi="Calibri" w:cs="Calibri"/>
          <w:sz w:val="22"/>
          <w:szCs w:val="22"/>
          <w:lang w:val="en-GB" w:eastAsia="en-GB"/>
        </w:rPr>
        <w:t xml:space="preserve">the IHR </w:t>
      </w:r>
      <w:r w:rsidR="00992082">
        <w:rPr>
          <w:rFonts w:ascii="Calibri" w:eastAsia="Times New Roman" w:hAnsi="Calibri" w:cs="Calibri"/>
          <w:sz w:val="22"/>
          <w:szCs w:val="22"/>
          <w:lang w:val="en-GB" w:eastAsia="en-GB"/>
        </w:rPr>
        <w:t xml:space="preserve">provides for a robust and coordinated response to </w:t>
      </w:r>
      <w:r w:rsidR="006816E4">
        <w:rPr>
          <w:rFonts w:ascii="Calibri" w:eastAsia="Times New Roman" w:hAnsi="Calibri" w:cs="Calibri"/>
          <w:sz w:val="22"/>
          <w:szCs w:val="22"/>
          <w:lang w:val="en-GB" w:eastAsia="en-GB"/>
        </w:rPr>
        <w:t>outbreaks of communicable disease.</w:t>
      </w:r>
      <w:r w:rsidR="007D152F">
        <w:rPr>
          <w:rFonts w:ascii="Calibri" w:eastAsia="Times New Roman" w:hAnsi="Calibri" w:cs="Calibri"/>
          <w:sz w:val="22"/>
          <w:szCs w:val="22"/>
          <w:lang w:val="en-GB" w:eastAsia="en-GB"/>
        </w:rPr>
        <w:t xml:space="preserve"> </w:t>
      </w:r>
      <w:r w:rsidR="00417E8A">
        <w:rPr>
          <w:rFonts w:ascii="Calibri" w:eastAsia="Times New Roman" w:hAnsi="Calibri" w:cs="Calibri"/>
          <w:sz w:val="22"/>
          <w:szCs w:val="22"/>
          <w:lang w:val="en-GB" w:eastAsia="en-GB"/>
        </w:rPr>
        <w:t>The</w:t>
      </w:r>
      <w:r w:rsidR="00B53EAD">
        <w:rPr>
          <w:rFonts w:ascii="Calibri" w:eastAsia="Times New Roman" w:hAnsi="Calibri" w:cs="Calibri"/>
          <w:sz w:val="22"/>
          <w:szCs w:val="22"/>
          <w:lang w:val="en-GB" w:eastAsia="en-GB"/>
        </w:rPr>
        <w:t xml:space="preserve"> root cause of </w:t>
      </w:r>
      <w:r w:rsidR="00E002E5">
        <w:rPr>
          <w:rFonts w:ascii="Calibri" w:eastAsia="Times New Roman" w:hAnsi="Calibri" w:cs="Calibri"/>
          <w:sz w:val="22"/>
          <w:szCs w:val="22"/>
          <w:lang w:val="en-GB" w:eastAsia="en-GB"/>
        </w:rPr>
        <w:t>poor responses to public health emergencies</w:t>
      </w:r>
      <w:r w:rsidR="00DF52CF">
        <w:rPr>
          <w:rFonts w:ascii="Calibri" w:eastAsia="Times New Roman" w:hAnsi="Calibri" w:cs="Calibri"/>
          <w:sz w:val="22"/>
          <w:szCs w:val="22"/>
          <w:lang w:val="en-GB" w:eastAsia="en-GB"/>
        </w:rPr>
        <w:t xml:space="preserve"> since the IHR’s ratification</w:t>
      </w:r>
      <w:r w:rsidR="00E002E5">
        <w:rPr>
          <w:rFonts w:ascii="Calibri" w:eastAsia="Times New Roman" w:hAnsi="Calibri" w:cs="Calibri"/>
          <w:sz w:val="22"/>
          <w:szCs w:val="22"/>
          <w:lang w:val="en-GB" w:eastAsia="en-GB"/>
        </w:rPr>
        <w:t xml:space="preserve"> </w:t>
      </w:r>
      <w:r w:rsidR="00497C14">
        <w:rPr>
          <w:rFonts w:ascii="Calibri" w:eastAsia="Times New Roman" w:hAnsi="Calibri" w:cs="Calibri"/>
          <w:sz w:val="22"/>
          <w:szCs w:val="22"/>
          <w:lang w:val="en-GB" w:eastAsia="en-GB"/>
        </w:rPr>
        <w:t xml:space="preserve">is </w:t>
      </w:r>
      <w:r w:rsidR="008E1F82">
        <w:rPr>
          <w:rFonts w:ascii="Calibri" w:eastAsia="Times New Roman" w:hAnsi="Calibri" w:cs="Calibri"/>
          <w:sz w:val="22"/>
          <w:szCs w:val="22"/>
          <w:lang w:val="en-GB" w:eastAsia="en-GB"/>
        </w:rPr>
        <w:t>the culture of non-compliance amongst States Parties</w:t>
      </w:r>
      <w:r w:rsidR="005C3A10">
        <w:rPr>
          <w:rFonts w:ascii="Calibri" w:eastAsia="Times New Roman" w:hAnsi="Calibri" w:cs="Calibri"/>
          <w:sz w:val="22"/>
          <w:szCs w:val="22"/>
          <w:lang w:val="en-GB" w:eastAsia="en-GB"/>
        </w:rPr>
        <w:t xml:space="preserve"> and the WHO Secretariat’s reluctance to </w:t>
      </w:r>
      <w:r w:rsidR="00DE1018">
        <w:rPr>
          <w:rFonts w:ascii="Calibri" w:eastAsia="Times New Roman" w:hAnsi="Calibri" w:cs="Calibri"/>
          <w:sz w:val="22"/>
          <w:szCs w:val="22"/>
          <w:lang w:val="en-GB" w:eastAsia="en-GB"/>
        </w:rPr>
        <w:t>use the legal framework of the IHR to its full potential.</w:t>
      </w:r>
      <w:r w:rsidR="001664BF">
        <w:rPr>
          <w:rFonts w:ascii="Calibri" w:eastAsia="Times New Roman" w:hAnsi="Calibri" w:cs="Calibri"/>
          <w:sz w:val="22"/>
          <w:szCs w:val="22"/>
          <w:lang w:val="en-GB" w:eastAsia="en-GB"/>
        </w:rPr>
        <w:t xml:space="preserve"> </w:t>
      </w:r>
    </w:p>
    <w:p w14:paraId="38C7D312" w14:textId="77777777" w:rsidR="004E071A" w:rsidRDefault="004E071A" w:rsidP="00463277">
      <w:pPr>
        <w:pStyle w:val="ListParagraph"/>
        <w:spacing w:line="360" w:lineRule="auto"/>
        <w:ind w:left="360"/>
        <w:jc w:val="both"/>
        <w:textAlignment w:val="baseline"/>
        <w:rPr>
          <w:rFonts w:ascii="Calibri" w:eastAsia="Times New Roman" w:hAnsi="Calibri" w:cs="Calibri"/>
          <w:sz w:val="22"/>
          <w:szCs w:val="22"/>
          <w:lang w:eastAsia="en-GB"/>
        </w:rPr>
      </w:pPr>
    </w:p>
    <w:p w14:paraId="14859472" w14:textId="34612AD4" w:rsidR="00EC000B" w:rsidRPr="00EC000B" w:rsidRDefault="00EE09E3" w:rsidP="00EC000B">
      <w:pPr>
        <w:pStyle w:val="ListParagraph"/>
        <w:numPr>
          <w:ilvl w:val="0"/>
          <w:numId w:val="63"/>
        </w:numPr>
        <w:spacing w:line="360" w:lineRule="auto"/>
        <w:jc w:val="both"/>
        <w:textAlignment w:val="baseline"/>
        <w:rPr>
          <w:rFonts w:ascii="Calibri" w:eastAsia="Times New Roman" w:hAnsi="Calibri" w:cs="Calibri"/>
          <w:sz w:val="22"/>
          <w:szCs w:val="22"/>
          <w:lang w:eastAsia="en-GB"/>
        </w:rPr>
      </w:pPr>
      <w:r w:rsidRPr="004E071A">
        <w:rPr>
          <w:rFonts w:ascii="Calibri" w:eastAsia="Times New Roman" w:hAnsi="Calibri" w:cs="Calibri"/>
          <w:sz w:val="22"/>
          <w:szCs w:val="22"/>
          <w:lang w:val="en-GB" w:eastAsia="en-GB"/>
        </w:rPr>
        <w:t>The self-proclaimed purpose of the IHR 2005, set out in Article 2, is to ‘prevent, protect against, control and provide a public health response to the international spread of disease in ways that are commensurate with and restricted to public health risks, and which avoid unnecessary interference with international traffic and trade.</w:t>
      </w:r>
      <w:r w:rsidR="0048268E" w:rsidRPr="004E071A">
        <w:rPr>
          <w:rFonts w:ascii="Calibri" w:eastAsia="Times New Roman" w:hAnsi="Calibri" w:cs="Calibri"/>
          <w:sz w:val="22"/>
          <w:szCs w:val="22"/>
          <w:lang w:val="en-GB" w:eastAsia="en-GB"/>
        </w:rPr>
        <w:t>’</w:t>
      </w:r>
      <w:r w:rsidR="0048268E">
        <w:rPr>
          <w:rStyle w:val="FootnoteReference"/>
          <w:rFonts w:ascii="Calibri" w:eastAsia="Times New Roman" w:hAnsi="Calibri" w:cs="Calibri"/>
          <w:sz w:val="22"/>
          <w:szCs w:val="22"/>
          <w:lang w:val="en-GB" w:eastAsia="en-GB"/>
        </w:rPr>
        <w:footnoteReference w:id="2"/>
      </w:r>
      <w:r w:rsidRPr="004E071A">
        <w:rPr>
          <w:rFonts w:ascii="Calibri" w:eastAsia="Times New Roman" w:hAnsi="Calibri" w:cs="Calibri"/>
          <w:sz w:val="22"/>
          <w:szCs w:val="22"/>
          <w:lang w:val="en-GB" w:eastAsia="en-GB"/>
        </w:rPr>
        <w:t> There is nothing radical about the Article 2 mission statement. Preventing the international spread of disease</w:t>
      </w:r>
      <w:r w:rsidR="00611535">
        <w:rPr>
          <w:rFonts w:ascii="Calibri" w:eastAsia="Times New Roman" w:hAnsi="Calibri" w:cs="Calibri"/>
          <w:sz w:val="22"/>
          <w:szCs w:val="22"/>
          <w:lang w:val="en-GB" w:eastAsia="en-GB"/>
        </w:rPr>
        <w:t xml:space="preserve"> </w:t>
      </w:r>
      <w:r w:rsidRPr="004E071A">
        <w:rPr>
          <w:rFonts w:ascii="Calibri" w:eastAsia="Times New Roman" w:hAnsi="Calibri" w:cs="Calibri"/>
          <w:sz w:val="22"/>
          <w:szCs w:val="22"/>
          <w:lang w:val="en-GB" w:eastAsia="en-GB"/>
        </w:rPr>
        <w:t>while avoiding disproportionate interruption of trade and travel was the purpose of all of the IHR’s predecessors, tracing back to the 19</w:t>
      </w:r>
      <w:r w:rsidRPr="004E071A">
        <w:rPr>
          <w:rFonts w:ascii="Calibri" w:eastAsia="Times New Roman" w:hAnsi="Calibri" w:cs="Calibri"/>
          <w:sz w:val="17"/>
          <w:szCs w:val="17"/>
          <w:vertAlign w:val="superscript"/>
          <w:lang w:val="en-GB" w:eastAsia="en-GB"/>
        </w:rPr>
        <w:t>th</w:t>
      </w:r>
      <w:r w:rsidRPr="004E071A">
        <w:rPr>
          <w:rFonts w:ascii="Calibri" w:eastAsia="Times New Roman" w:hAnsi="Calibri" w:cs="Calibri"/>
          <w:sz w:val="22"/>
          <w:szCs w:val="22"/>
          <w:lang w:val="en-GB" w:eastAsia="en-GB"/>
        </w:rPr>
        <w:t> century International Sanitary Conventions.</w:t>
      </w:r>
      <w:r w:rsidR="00461E14">
        <w:rPr>
          <w:rStyle w:val="FootnoteReference"/>
          <w:rFonts w:ascii="Calibri" w:eastAsia="Times New Roman" w:hAnsi="Calibri" w:cs="Calibri"/>
          <w:sz w:val="22"/>
          <w:szCs w:val="22"/>
          <w:lang w:val="en-GB" w:eastAsia="en-GB"/>
        </w:rPr>
        <w:footnoteReference w:id="3"/>
      </w:r>
      <w:r w:rsidR="00461E14" w:rsidRPr="004E071A">
        <w:rPr>
          <w:rFonts w:ascii="Calibri" w:eastAsia="Times New Roman" w:hAnsi="Calibri" w:cs="Calibri"/>
          <w:sz w:val="17"/>
          <w:szCs w:val="17"/>
          <w:vertAlign w:val="superscript"/>
          <w:lang w:val="en-GB" w:eastAsia="en-GB"/>
        </w:rPr>
        <w:t xml:space="preserve">  </w:t>
      </w:r>
      <w:r w:rsidRPr="004E071A">
        <w:rPr>
          <w:rFonts w:ascii="Calibri" w:eastAsia="Times New Roman" w:hAnsi="Calibri" w:cs="Calibri"/>
          <w:sz w:val="22"/>
          <w:szCs w:val="22"/>
          <w:lang w:val="en-GB" w:eastAsia="en-GB"/>
        </w:rPr>
        <w:t>It was not the</w:t>
      </w:r>
      <w:r w:rsidR="00461E14" w:rsidRPr="004E071A">
        <w:rPr>
          <w:rFonts w:ascii="Calibri" w:eastAsia="Times New Roman" w:hAnsi="Calibri" w:cs="Calibri"/>
          <w:sz w:val="22"/>
          <w:szCs w:val="22"/>
          <w:lang w:val="en-GB" w:eastAsia="en-GB"/>
        </w:rPr>
        <w:t xml:space="preserve"> </w:t>
      </w:r>
      <w:r w:rsidR="00AC6987">
        <w:rPr>
          <w:rFonts w:ascii="Calibri" w:eastAsia="Times New Roman" w:hAnsi="Calibri" w:cs="Calibri"/>
          <w:sz w:val="22"/>
          <w:szCs w:val="22"/>
          <w:lang w:val="en-GB" w:eastAsia="en-GB"/>
        </w:rPr>
        <w:t xml:space="preserve">broad </w:t>
      </w:r>
      <w:r w:rsidRPr="004E071A">
        <w:rPr>
          <w:rFonts w:ascii="Calibri" w:eastAsia="Times New Roman" w:hAnsi="Calibri" w:cs="Calibri"/>
          <w:sz w:val="22"/>
          <w:szCs w:val="22"/>
          <w:lang w:val="en-GB" w:eastAsia="en-GB"/>
        </w:rPr>
        <w:t>purpose of the IHR 2005 but rather its strategy in achieving this purpose that caused it to be heralded as a “seminal event”</w:t>
      </w:r>
      <w:r w:rsidR="00461E14" w:rsidRPr="004E071A">
        <w:rPr>
          <w:rFonts w:ascii="Calibri" w:eastAsia="Times New Roman" w:hAnsi="Calibri" w:cs="Calibri"/>
          <w:sz w:val="22"/>
          <w:szCs w:val="22"/>
          <w:lang w:val="en-GB" w:eastAsia="en-GB"/>
        </w:rPr>
        <w:t>.</w:t>
      </w:r>
      <w:r w:rsidR="00FE5382">
        <w:rPr>
          <w:rStyle w:val="FootnoteReference"/>
          <w:rFonts w:ascii="Calibri" w:eastAsia="Times New Roman" w:hAnsi="Calibri" w:cs="Calibri"/>
          <w:sz w:val="17"/>
          <w:szCs w:val="17"/>
          <w:lang w:val="en-GB" w:eastAsia="en-GB"/>
        </w:rPr>
        <w:footnoteReference w:id="4"/>
      </w:r>
    </w:p>
    <w:p w14:paraId="639C8698" w14:textId="77777777" w:rsidR="00EC000B" w:rsidRPr="00EC000B" w:rsidRDefault="00EC000B" w:rsidP="00EC000B">
      <w:pPr>
        <w:pStyle w:val="ListParagraph"/>
        <w:rPr>
          <w:rFonts w:ascii="Calibri" w:eastAsia="Times New Roman" w:hAnsi="Calibri" w:cs="Calibri"/>
          <w:sz w:val="22"/>
          <w:szCs w:val="22"/>
          <w:lang w:val="en-US" w:eastAsia="en-GB"/>
        </w:rPr>
      </w:pPr>
    </w:p>
    <w:p w14:paraId="1F841DC8" w14:textId="53AB48B0" w:rsidR="00F91F59" w:rsidRPr="00160614" w:rsidRDefault="00524A8E" w:rsidP="00EC000B">
      <w:pPr>
        <w:pStyle w:val="ListParagraph"/>
        <w:numPr>
          <w:ilvl w:val="0"/>
          <w:numId w:val="63"/>
        </w:numPr>
        <w:spacing w:line="360" w:lineRule="auto"/>
        <w:jc w:val="both"/>
        <w:textAlignment w:val="baseline"/>
        <w:rPr>
          <w:rFonts w:ascii="Calibri" w:eastAsia="Times New Roman" w:hAnsi="Calibri" w:cs="Calibri"/>
          <w:sz w:val="22"/>
          <w:szCs w:val="22"/>
          <w:lang w:eastAsia="en-GB"/>
        </w:rPr>
      </w:pPr>
      <w:r w:rsidRPr="00EC000B">
        <w:rPr>
          <w:rFonts w:ascii="Calibri" w:eastAsia="Times New Roman" w:hAnsi="Calibri" w:cs="Calibri"/>
          <w:sz w:val="22"/>
          <w:szCs w:val="22"/>
          <w:lang w:val="en-US" w:eastAsia="en-GB"/>
        </w:rPr>
        <w:t>In terms of fitness for the purpose of preventing international spread of disease, it is not an exaggeration to characterize the IHR 2005 as a “quantum leap forward”.</w:t>
      </w:r>
      <w:r>
        <w:rPr>
          <w:rStyle w:val="FootnoteReference"/>
          <w:rFonts w:ascii="Calibri" w:eastAsia="Times New Roman" w:hAnsi="Calibri" w:cs="Calibri"/>
          <w:sz w:val="22"/>
          <w:szCs w:val="22"/>
          <w:lang w:val="en-US" w:eastAsia="en-GB"/>
        </w:rPr>
        <w:footnoteReference w:id="5"/>
      </w:r>
      <w:r w:rsidRPr="00EC000B">
        <w:rPr>
          <w:rFonts w:ascii="Calibri" w:eastAsia="Times New Roman" w:hAnsi="Calibri" w:cs="Calibri"/>
          <w:sz w:val="22"/>
          <w:szCs w:val="22"/>
          <w:lang w:val="en-US" w:eastAsia="en-GB"/>
        </w:rPr>
        <w:t xml:space="preserve">  </w:t>
      </w:r>
      <w:r w:rsidR="00EE09E3" w:rsidRPr="00EC000B">
        <w:rPr>
          <w:rFonts w:ascii="Calibri" w:eastAsia="Times New Roman" w:hAnsi="Calibri" w:cs="Calibri"/>
          <w:sz w:val="22"/>
          <w:szCs w:val="22"/>
          <w:lang w:val="en-GB" w:eastAsia="en-GB"/>
        </w:rPr>
        <w:t xml:space="preserve">While the IHR 1969 had focused on preventing cross-border movement, the IHR 2005 appreciated that </w:t>
      </w:r>
      <w:r w:rsidR="00BA5BCF" w:rsidRPr="00EC000B">
        <w:rPr>
          <w:rFonts w:ascii="Calibri" w:eastAsia="Times New Roman" w:hAnsi="Calibri" w:cs="Calibri"/>
          <w:sz w:val="22"/>
          <w:szCs w:val="22"/>
          <w:lang w:val="en-GB" w:eastAsia="en-GB"/>
        </w:rPr>
        <w:t xml:space="preserve">the key to </w:t>
      </w:r>
      <w:r w:rsidR="00EE09E3" w:rsidRPr="00EC000B">
        <w:rPr>
          <w:rFonts w:ascii="Calibri" w:eastAsia="Times New Roman" w:hAnsi="Calibri" w:cs="Calibri"/>
          <w:sz w:val="22"/>
          <w:szCs w:val="22"/>
          <w:lang w:val="en-GB" w:eastAsia="en-GB"/>
        </w:rPr>
        <w:t xml:space="preserve">outbreak prevention </w:t>
      </w:r>
      <w:r w:rsidR="00BA5BCF" w:rsidRPr="00EC000B">
        <w:rPr>
          <w:rFonts w:ascii="Calibri" w:eastAsia="Times New Roman" w:hAnsi="Calibri" w:cs="Calibri"/>
          <w:sz w:val="22"/>
          <w:szCs w:val="22"/>
          <w:lang w:val="en-GB" w:eastAsia="en-GB"/>
        </w:rPr>
        <w:t>was</w:t>
      </w:r>
      <w:r w:rsidR="00EE09E3" w:rsidRPr="00EC000B">
        <w:rPr>
          <w:rFonts w:ascii="Calibri" w:eastAsia="Times New Roman" w:hAnsi="Calibri" w:cs="Calibri"/>
          <w:sz w:val="22"/>
          <w:szCs w:val="22"/>
          <w:lang w:val="en-GB" w:eastAsia="en-GB"/>
        </w:rPr>
        <w:t xml:space="preserve"> surveillance and early detection at the point of origin, and therefore</w:t>
      </w:r>
      <w:r w:rsidR="00BF0505" w:rsidRPr="00EC000B">
        <w:rPr>
          <w:rFonts w:ascii="Calibri" w:eastAsia="Times New Roman" w:hAnsi="Calibri" w:cs="Calibri"/>
          <w:sz w:val="22"/>
          <w:szCs w:val="22"/>
          <w:lang w:val="en-GB" w:eastAsia="en-GB"/>
        </w:rPr>
        <w:t xml:space="preserve"> each</w:t>
      </w:r>
      <w:r w:rsidR="00EE09E3" w:rsidRPr="00EC000B">
        <w:rPr>
          <w:rFonts w:ascii="Calibri" w:eastAsia="Times New Roman" w:hAnsi="Calibri" w:cs="Calibri"/>
          <w:sz w:val="22"/>
          <w:szCs w:val="22"/>
          <w:lang w:val="en-GB" w:eastAsia="en-GB"/>
        </w:rPr>
        <w:t> individual country’s domestic public health capacities were of global concern.</w:t>
      </w:r>
      <w:r w:rsidR="00326BC9" w:rsidRPr="00EC000B">
        <w:rPr>
          <w:rFonts w:ascii="Calibri" w:eastAsia="Times New Roman" w:hAnsi="Calibri" w:cs="Calibri"/>
          <w:sz w:val="22"/>
          <w:szCs w:val="22"/>
          <w:lang w:val="en-GB" w:eastAsia="en-GB"/>
        </w:rPr>
        <w:t xml:space="preserve"> </w:t>
      </w:r>
      <w:r w:rsidR="007D28E9" w:rsidRPr="00EC000B">
        <w:rPr>
          <w:rFonts w:ascii="Calibri" w:eastAsia="Times New Roman" w:hAnsi="Calibri" w:cs="Calibri"/>
          <w:sz w:val="22"/>
          <w:szCs w:val="22"/>
          <w:lang w:val="en-GB" w:eastAsia="en-GB"/>
        </w:rPr>
        <w:t xml:space="preserve">The IHR </w:t>
      </w:r>
      <w:r w:rsidR="00315CB8" w:rsidRPr="00EC000B">
        <w:rPr>
          <w:rFonts w:ascii="Calibri" w:eastAsia="Times New Roman" w:hAnsi="Calibri" w:cs="Calibri"/>
          <w:sz w:val="22"/>
          <w:szCs w:val="22"/>
          <w:lang w:val="en-GB" w:eastAsia="en-GB"/>
        </w:rPr>
        <w:t xml:space="preserve">required States Parties to </w:t>
      </w:r>
      <w:r w:rsidR="00BA7F24" w:rsidRPr="00EC000B">
        <w:rPr>
          <w:rFonts w:ascii="Calibri" w:eastAsia="Times New Roman" w:hAnsi="Calibri" w:cs="Calibri"/>
          <w:sz w:val="22"/>
          <w:szCs w:val="22"/>
          <w:lang w:val="en-GB" w:eastAsia="en-GB"/>
        </w:rPr>
        <w:t xml:space="preserve">develop </w:t>
      </w:r>
      <w:r w:rsidR="00B076EA" w:rsidRPr="00EC000B">
        <w:rPr>
          <w:rFonts w:ascii="Calibri" w:eastAsia="Times New Roman" w:hAnsi="Calibri" w:cs="Calibri"/>
          <w:sz w:val="22"/>
          <w:szCs w:val="22"/>
          <w:lang w:val="en-GB" w:eastAsia="en-GB"/>
        </w:rPr>
        <w:t>certain ‘core capacities’,</w:t>
      </w:r>
      <w:r w:rsidR="00F82DA4" w:rsidRPr="00EC000B">
        <w:rPr>
          <w:rFonts w:ascii="Calibri" w:eastAsia="Times New Roman" w:hAnsi="Calibri" w:cs="Calibri"/>
          <w:sz w:val="22"/>
          <w:szCs w:val="22"/>
          <w:lang w:val="en-GB" w:eastAsia="en-GB"/>
        </w:rPr>
        <w:t xml:space="preserve"> or </w:t>
      </w:r>
      <w:r w:rsidR="00B076EA" w:rsidRPr="00EC000B">
        <w:rPr>
          <w:rFonts w:ascii="Calibri" w:eastAsia="Times New Roman" w:hAnsi="Calibri" w:cs="Calibri"/>
          <w:sz w:val="22"/>
          <w:szCs w:val="22"/>
          <w:lang w:val="en-GB" w:eastAsia="en-GB"/>
        </w:rPr>
        <w:t>minimum</w:t>
      </w:r>
      <w:r w:rsidR="008679AE" w:rsidRPr="00EC000B">
        <w:rPr>
          <w:rFonts w:ascii="Calibri" w:eastAsia="Times New Roman" w:hAnsi="Calibri" w:cs="Calibri"/>
          <w:sz w:val="22"/>
          <w:szCs w:val="22"/>
          <w:lang w:val="en-GB" w:eastAsia="en-GB"/>
        </w:rPr>
        <w:t xml:space="preserve"> national public health structures and resources</w:t>
      </w:r>
      <w:r w:rsidR="000E0C6E" w:rsidRPr="00EC000B">
        <w:rPr>
          <w:rFonts w:ascii="Calibri" w:eastAsia="Times New Roman" w:hAnsi="Calibri" w:cs="Calibri"/>
          <w:sz w:val="22"/>
          <w:szCs w:val="22"/>
          <w:lang w:val="en-GB" w:eastAsia="en-GB"/>
        </w:rPr>
        <w:t>.</w:t>
      </w:r>
      <w:r w:rsidR="000E0C6E">
        <w:rPr>
          <w:rStyle w:val="FootnoteReference"/>
          <w:rFonts w:ascii="Calibri" w:eastAsia="Times New Roman" w:hAnsi="Calibri" w:cs="Calibri"/>
          <w:sz w:val="22"/>
          <w:szCs w:val="22"/>
          <w:lang w:val="en-GB" w:eastAsia="en-GB"/>
        </w:rPr>
        <w:footnoteReference w:id="6"/>
      </w:r>
      <w:r w:rsidR="00EE09E3" w:rsidRPr="00EC000B">
        <w:rPr>
          <w:rFonts w:ascii="Calibri" w:eastAsia="Times New Roman" w:hAnsi="Calibri" w:cs="Calibri"/>
          <w:sz w:val="22"/>
          <w:szCs w:val="22"/>
          <w:lang w:val="en-GB" w:eastAsia="en-GB"/>
        </w:rPr>
        <w:t> </w:t>
      </w:r>
    </w:p>
    <w:p w14:paraId="6D106166" w14:textId="77777777" w:rsidR="00160614" w:rsidRPr="00160614" w:rsidRDefault="00160614" w:rsidP="00160614">
      <w:pPr>
        <w:spacing w:line="360" w:lineRule="auto"/>
        <w:jc w:val="both"/>
        <w:textAlignment w:val="baseline"/>
        <w:rPr>
          <w:rFonts w:ascii="Calibri" w:eastAsia="Times New Roman" w:hAnsi="Calibri" w:cs="Calibri"/>
          <w:sz w:val="22"/>
          <w:szCs w:val="22"/>
          <w:lang w:eastAsia="en-GB"/>
        </w:rPr>
      </w:pPr>
    </w:p>
    <w:p w14:paraId="2A77567A" w14:textId="0EC12D7F" w:rsidR="00F91F59" w:rsidRPr="00AC6987" w:rsidRDefault="00443197" w:rsidP="00EE1C7C">
      <w:pPr>
        <w:pStyle w:val="ListParagraph"/>
        <w:numPr>
          <w:ilvl w:val="0"/>
          <w:numId w:val="63"/>
        </w:numPr>
        <w:spacing w:line="360" w:lineRule="auto"/>
        <w:jc w:val="both"/>
        <w:textAlignment w:val="baseline"/>
        <w:rPr>
          <w:rFonts w:ascii="Calibri" w:eastAsia="Times New Roman" w:hAnsi="Calibri" w:cs="Calibri"/>
          <w:sz w:val="22"/>
          <w:szCs w:val="22"/>
          <w:lang w:val="en-GB" w:eastAsia="en-GB"/>
        </w:rPr>
      </w:pPr>
      <w:r w:rsidRPr="00AC6987">
        <w:rPr>
          <w:rFonts w:ascii="Calibri" w:eastAsia="Times New Roman" w:hAnsi="Calibri" w:cs="Calibri"/>
          <w:sz w:val="22"/>
          <w:szCs w:val="22"/>
          <w:lang w:eastAsia="en-GB"/>
        </w:rPr>
        <w:t xml:space="preserve">The IHR 2005 </w:t>
      </w:r>
      <w:r w:rsidR="00B8510E" w:rsidRPr="00AC6987">
        <w:rPr>
          <w:rFonts w:ascii="Calibri" w:eastAsia="Times New Roman" w:hAnsi="Calibri" w:cs="Calibri"/>
          <w:sz w:val="22"/>
          <w:szCs w:val="22"/>
          <w:lang w:eastAsia="en-GB"/>
        </w:rPr>
        <w:t>is</w:t>
      </w:r>
      <w:r w:rsidRPr="00AC6987">
        <w:rPr>
          <w:rFonts w:ascii="Calibri" w:eastAsia="Times New Roman" w:hAnsi="Calibri" w:cs="Calibri"/>
          <w:sz w:val="22"/>
          <w:szCs w:val="22"/>
          <w:lang w:eastAsia="en-GB"/>
        </w:rPr>
        <w:t xml:space="preserve"> far better suited to preventing the international spread of disease as it was designed to apply to a wide range of public health threats. The flexible nature of Annex 2 ‘decision instrument’ </w:t>
      </w:r>
      <w:r w:rsidR="00946F07" w:rsidRPr="00AC6987">
        <w:rPr>
          <w:rFonts w:ascii="Calibri" w:eastAsia="Times New Roman" w:hAnsi="Calibri" w:cs="Calibri"/>
          <w:sz w:val="22"/>
          <w:szCs w:val="22"/>
          <w:lang w:eastAsia="en-GB"/>
        </w:rPr>
        <w:t>means</w:t>
      </w:r>
      <w:r w:rsidRPr="00AC6987">
        <w:rPr>
          <w:rFonts w:ascii="Calibri" w:eastAsia="Times New Roman" w:hAnsi="Calibri" w:cs="Calibri"/>
          <w:sz w:val="22"/>
          <w:szCs w:val="22"/>
          <w:lang w:eastAsia="en-GB"/>
        </w:rPr>
        <w:t xml:space="preserve"> that any threat to international public health, whether of biological, chemical or radiological origin, could amount to a Public Health Emergency of International Concern</w:t>
      </w:r>
      <w:r w:rsidR="00E20666" w:rsidRPr="00AC6987">
        <w:rPr>
          <w:rFonts w:ascii="Calibri" w:eastAsia="Times New Roman" w:hAnsi="Calibri" w:cs="Calibri"/>
          <w:sz w:val="22"/>
          <w:szCs w:val="22"/>
          <w:lang w:eastAsia="en-GB"/>
        </w:rPr>
        <w:t xml:space="preserve"> (‘PHEIC’)</w:t>
      </w:r>
      <w:r w:rsidRPr="00AC6987">
        <w:rPr>
          <w:rFonts w:ascii="Calibri" w:eastAsia="Times New Roman" w:hAnsi="Calibri" w:cs="Calibri"/>
          <w:sz w:val="22"/>
          <w:szCs w:val="22"/>
          <w:lang w:eastAsia="en-GB"/>
        </w:rPr>
        <w:t xml:space="preserve"> and trigger a series of State Party and WHO obligations.</w:t>
      </w:r>
      <w:r>
        <w:rPr>
          <w:rStyle w:val="FootnoteReference"/>
          <w:rFonts w:ascii="Calibri" w:eastAsia="Times New Roman" w:hAnsi="Calibri" w:cs="Calibri"/>
          <w:sz w:val="22"/>
          <w:szCs w:val="22"/>
          <w:lang w:eastAsia="en-GB"/>
        </w:rPr>
        <w:footnoteReference w:id="7"/>
      </w:r>
      <w:r w:rsidRPr="00AC6987">
        <w:rPr>
          <w:rFonts w:ascii="Calibri" w:eastAsia="Times New Roman" w:hAnsi="Calibri" w:cs="Calibri"/>
          <w:sz w:val="22"/>
          <w:szCs w:val="22"/>
          <w:lang w:eastAsia="en-GB"/>
        </w:rPr>
        <w:t xml:space="preserve">  This </w:t>
      </w:r>
      <w:r w:rsidR="00946F07" w:rsidRPr="00AC6987">
        <w:rPr>
          <w:rFonts w:ascii="Calibri" w:eastAsia="Times New Roman" w:hAnsi="Calibri" w:cs="Calibri"/>
          <w:sz w:val="22"/>
          <w:szCs w:val="22"/>
          <w:lang w:eastAsia="en-GB"/>
        </w:rPr>
        <w:t>contrasts starkly</w:t>
      </w:r>
      <w:r w:rsidRPr="00AC6987">
        <w:rPr>
          <w:rFonts w:ascii="Calibri" w:eastAsia="Times New Roman" w:hAnsi="Calibri" w:cs="Calibri"/>
          <w:sz w:val="22"/>
          <w:szCs w:val="22"/>
          <w:lang w:eastAsia="en-GB"/>
        </w:rPr>
        <w:t xml:space="preserve"> with the IHR 1969, which only applied to three prescribed diseases.</w:t>
      </w:r>
      <w:r w:rsidR="004C2254" w:rsidRPr="00AC6987">
        <w:rPr>
          <w:rFonts w:ascii="Calibri" w:eastAsia="Times New Roman" w:hAnsi="Calibri" w:cs="Calibri"/>
          <w:sz w:val="22"/>
          <w:szCs w:val="22"/>
          <w:lang w:eastAsia="en-GB"/>
        </w:rPr>
        <w:t xml:space="preserve"> </w:t>
      </w:r>
    </w:p>
    <w:p w14:paraId="720D9FCF" w14:textId="77777777" w:rsidR="00AC6987" w:rsidRPr="00AC6987" w:rsidRDefault="00AC6987" w:rsidP="00AC6987">
      <w:pPr>
        <w:pStyle w:val="ListParagraph"/>
        <w:rPr>
          <w:rFonts w:ascii="Calibri" w:eastAsia="Times New Roman" w:hAnsi="Calibri" w:cs="Calibri"/>
          <w:sz w:val="22"/>
          <w:szCs w:val="22"/>
          <w:lang w:val="en-GB" w:eastAsia="en-GB"/>
        </w:rPr>
      </w:pPr>
    </w:p>
    <w:p w14:paraId="23FB12D1" w14:textId="77777777" w:rsidR="00AC6987" w:rsidRPr="00AC6987" w:rsidRDefault="00AC6987" w:rsidP="00AC6987">
      <w:pPr>
        <w:pStyle w:val="ListParagraph"/>
        <w:spacing w:line="360" w:lineRule="auto"/>
        <w:ind w:left="360"/>
        <w:jc w:val="both"/>
        <w:textAlignment w:val="baseline"/>
        <w:rPr>
          <w:rFonts w:ascii="Calibri" w:eastAsia="Times New Roman" w:hAnsi="Calibri" w:cs="Calibri"/>
          <w:sz w:val="22"/>
          <w:szCs w:val="22"/>
          <w:lang w:val="en-GB" w:eastAsia="en-GB"/>
        </w:rPr>
      </w:pPr>
    </w:p>
    <w:p w14:paraId="7AFF9B41" w14:textId="285BFEAC" w:rsidR="005514A5" w:rsidRPr="005514A5" w:rsidRDefault="00765B71" w:rsidP="00EC000B">
      <w:pPr>
        <w:pStyle w:val="ListParagraph"/>
        <w:numPr>
          <w:ilvl w:val="0"/>
          <w:numId w:val="63"/>
        </w:numPr>
        <w:spacing w:line="360" w:lineRule="auto"/>
        <w:jc w:val="both"/>
        <w:textAlignment w:val="baseline"/>
        <w:rPr>
          <w:rFonts w:ascii="Calibri" w:eastAsia="Times New Roman" w:hAnsi="Calibri" w:cs="Calibri"/>
          <w:sz w:val="22"/>
          <w:szCs w:val="22"/>
          <w:lang w:eastAsia="en-GB"/>
        </w:rPr>
      </w:pPr>
      <w:r w:rsidRPr="00EC000B">
        <w:rPr>
          <w:rFonts w:ascii="Calibri" w:eastAsia="Times New Roman" w:hAnsi="Calibri" w:cs="Calibri"/>
          <w:sz w:val="22"/>
          <w:szCs w:val="22"/>
          <w:lang w:val="en-GB" w:eastAsia="en-GB"/>
        </w:rPr>
        <w:t>The new</w:t>
      </w:r>
      <w:r w:rsidR="00663CFB" w:rsidRPr="00EC000B">
        <w:rPr>
          <w:rFonts w:ascii="Calibri" w:eastAsia="Times New Roman" w:hAnsi="Calibri" w:cs="Calibri"/>
          <w:sz w:val="22"/>
          <w:szCs w:val="22"/>
          <w:lang w:val="en-GB" w:eastAsia="en-GB"/>
        </w:rPr>
        <w:t xml:space="preserve"> IHR also</w:t>
      </w:r>
      <w:r w:rsidR="00886BFC">
        <w:rPr>
          <w:rFonts w:ascii="Calibri" w:eastAsia="Times New Roman" w:hAnsi="Calibri" w:cs="Calibri"/>
          <w:sz w:val="22"/>
          <w:szCs w:val="22"/>
          <w:lang w:val="en-GB" w:eastAsia="en-GB"/>
        </w:rPr>
        <w:t xml:space="preserve"> learned the lesson of the SARS outbreak</w:t>
      </w:r>
      <w:r w:rsidR="009260EB">
        <w:rPr>
          <w:rFonts w:ascii="Calibri" w:eastAsia="Times New Roman" w:hAnsi="Calibri" w:cs="Calibri"/>
          <w:sz w:val="22"/>
          <w:szCs w:val="22"/>
          <w:lang w:val="en-GB" w:eastAsia="en-GB"/>
        </w:rPr>
        <w:t xml:space="preserve"> – namely that State Party transparency was key to outbreak prevention</w:t>
      </w:r>
      <w:r w:rsidR="00133B4B">
        <w:rPr>
          <w:rFonts w:ascii="Calibri" w:eastAsia="Times New Roman" w:hAnsi="Calibri" w:cs="Calibri"/>
          <w:sz w:val="22"/>
          <w:szCs w:val="22"/>
          <w:lang w:val="en-GB" w:eastAsia="en-GB"/>
        </w:rPr>
        <w:t xml:space="preserve">. The IHR 2005 granted WHO new </w:t>
      </w:r>
      <w:r w:rsidR="00D00935">
        <w:rPr>
          <w:rFonts w:ascii="Calibri" w:eastAsia="Times New Roman" w:hAnsi="Calibri" w:cs="Calibri"/>
          <w:sz w:val="22"/>
          <w:szCs w:val="22"/>
          <w:lang w:val="en-GB" w:eastAsia="en-GB"/>
        </w:rPr>
        <w:t>power independent from the States Parties, in that it</w:t>
      </w:r>
      <w:r w:rsidR="00635F57">
        <w:rPr>
          <w:rFonts w:ascii="Calibri" w:eastAsia="Times New Roman" w:hAnsi="Calibri" w:cs="Calibri"/>
          <w:sz w:val="22"/>
          <w:szCs w:val="22"/>
          <w:lang w:val="en-GB" w:eastAsia="en-GB"/>
        </w:rPr>
        <w:t xml:space="preserve"> can </w:t>
      </w:r>
      <w:r w:rsidR="002F7CAD">
        <w:rPr>
          <w:rFonts w:ascii="Calibri" w:eastAsia="Times New Roman" w:hAnsi="Calibri" w:cs="Calibri"/>
          <w:sz w:val="22"/>
          <w:szCs w:val="22"/>
          <w:lang w:val="en-GB" w:eastAsia="en-GB"/>
        </w:rPr>
        <w:t xml:space="preserve">rely on non-state sources of information </w:t>
      </w:r>
      <w:r w:rsidR="00A42BB0">
        <w:rPr>
          <w:rFonts w:ascii="Calibri" w:eastAsia="Times New Roman" w:hAnsi="Calibri" w:cs="Calibri"/>
          <w:sz w:val="22"/>
          <w:szCs w:val="22"/>
          <w:lang w:val="en-GB" w:eastAsia="en-GB"/>
        </w:rPr>
        <w:t>to launch investigations into potential PHEIC events</w:t>
      </w:r>
      <w:r w:rsidR="00886BFC">
        <w:rPr>
          <w:rFonts w:ascii="Calibri" w:eastAsia="Times New Roman" w:hAnsi="Calibri" w:cs="Calibri"/>
          <w:sz w:val="22"/>
          <w:szCs w:val="22"/>
          <w:lang w:val="en-GB" w:eastAsia="en-GB"/>
        </w:rPr>
        <w:t xml:space="preserve"> </w:t>
      </w:r>
      <w:r w:rsidR="00526613">
        <w:rPr>
          <w:rFonts w:ascii="Calibri" w:eastAsia="Times New Roman" w:hAnsi="Calibri" w:cs="Calibri"/>
          <w:sz w:val="22"/>
          <w:szCs w:val="22"/>
          <w:lang w:val="en-GB" w:eastAsia="en-GB"/>
        </w:rPr>
        <w:t xml:space="preserve">and can </w:t>
      </w:r>
      <w:r w:rsidR="00A06ED2">
        <w:rPr>
          <w:rFonts w:ascii="Calibri" w:eastAsia="Times New Roman" w:hAnsi="Calibri" w:cs="Calibri"/>
          <w:sz w:val="22"/>
          <w:szCs w:val="22"/>
          <w:lang w:val="en-GB" w:eastAsia="en-GB"/>
        </w:rPr>
        <w:t>coordinate a response</w:t>
      </w:r>
      <w:r w:rsidR="00AC6987">
        <w:rPr>
          <w:rFonts w:ascii="Calibri" w:eastAsia="Times New Roman" w:hAnsi="Calibri" w:cs="Calibri"/>
          <w:sz w:val="22"/>
          <w:szCs w:val="22"/>
          <w:lang w:val="en-GB" w:eastAsia="en-GB"/>
        </w:rPr>
        <w:t xml:space="preserve"> even</w:t>
      </w:r>
      <w:r w:rsidR="00A06ED2">
        <w:rPr>
          <w:rFonts w:ascii="Calibri" w:eastAsia="Times New Roman" w:hAnsi="Calibri" w:cs="Calibri"/>
          <w:sz w:val="22"/>
          <w:szCs w:val="22"/>
          <w:lang w:val="en-GB" w:eastAsia="en-GB"/>
        </w:rPr>
        <w:t xml:space="preserve"> </w:t>
      </w:r>
      <w:r w:rsidR="00600FD9">
        <w:rPr>
          <w:rFonts w:ascii="Calibri" w:eastAsia="Times New Roman" w:hAnsi="Calibri" w:cs="Calibri"/>
          <w:sz w:val="22"/>
          <w:szCs w:val="22"/>
          <w:lang w:val="en-GB" w:eastAsia="en-GB"/>
        </w:rPr>
        <w:t>without the collaboration of</w:t>
      </w:r>
      <w:r w:rsidR="00BF3C6E">
        <w:rPr>
          <w:rFonts w:ascii="Calibri" w:eastAsia="Times New Roman" w:hAnsi="Calibri" w:cs="Calibri"/>
          <w:sz w:val="22"/>
          <w:szCs w:val="22"/>
          <w:lang w:val="en-GB" w:eastAsia="en-GB"/>
        </w:rPr>
        <w:t xml:space="preserve"> the State Party </w:t>
      </w:r>
      <w:r w:rsidR="00C47E20">
        <w:rPr>
          <w:rFonts w:ascii="Calibri" w:eastAsia="Times New Roman" w:hAnsi="Calibri" w:cs="Calibri"/>
          <w:sz w:val="22"/>
          <w:szCs w:val="22"/>
          <w:lang w:val="en-GB" w:eastAsia="en-GB"/>
        </w:rPr>
        <w:t>in which the disease originated.</w:t>
      </w:r>
      <w:r w:rsidR="00C6326B" w:rsidRPr="00C6326B">
        <w:rPr>
          <w:rStyle w:val="FootnoteReference"/>
          <w:rFonts w:ascii="Calibri" w:eastAsia="Times New Roman" w:hAnsi="Calibri" w:cs="Calibri"/>
          <w:sz w:val="22"/>
          <w:szCs w:val="22"/>
          <w:lang w:val="en-GB" w:eastAsia="en-GB"/>
        </w:rPr>
        <w:t xml:space="preserve"> </w:t>
      </w:r>
      <w:r w:rsidR="00C6326B">
        <w:rPr>
          <w:rStyle w:val="FootnoteReference"/>
          <w:rFonts w:ascii="Calibri" w:eastAsia="Times New Roman" w:hAnsi="Calibri" w:cs="Calibri"/>
          <w:sz w:val="22"/>
          <w:szCs w:val="22"/>
          <w:lang w:val="en-GB" w:eastAsia="en-GB"/>
        </w:rPr>
        <w:footnoteReference w:id="8"/>
      </w:r>
      <w:r w:rsidR="00C6326B">
        <w:rPr>
          <w:rFonts w:ascii="Calibri" w:eastAsia="Times New Roman" w:hAnsi="Calibri" w:cs="Calibri"/>
          <w:sz w:val="22"/>
          <w:szCs w:val="22"/>
          <w:lang w:val="en-GB" w:eastAsia="en-GB"/>
        </w:rPr>
        <w:t xml:space="preserve"> </w:t>
      </w:r>
      <w:r w:rsidR="00F91F59">
        <w:rPr>
          <w:rFonts w:ascii="Calibri" w:eastAsia="Times New Roman" w:hAnsi="Calibri" w:cs="Calibri"/>
          <w:sz w:val="22"/>
          <w:szCs w:val="22"/>
          <w:lang w:val="en-GB" w:eastAsia="en-GB"/>
        </w:rPr>
        <w:t xml:space="preserve">The IHR thereby disincentivised attempts to cover-up </w:t>
      </w:r>
      <w:r w:rsidR="0056465A">
        <w:rPr>
          <w:rFonts w:ascii="Calibri" w:eastAsia="Times New Roman" w:hAnsi="Calibri" w:cs="Calibri"/>
          <w:sz w:val="22"/>
          <w:szCs w:val="22"/>
          <w:lang w:val="en-GB" w:eastAsia="en-GB"/>
        </w:rPr>
        <w:t>public health threats,</w:t>
      </w:r>
      <w:r w:rsidR="005514A5">
        <w:rPr>
          <w:rFonts w:ascii="Calibri" w:eastAsia="Times New Roman" w:hAnsi="Calibri" w:cs="Calibri"/>
          <w:sz w:val="22"/>
          <w:szCs w:val="22"/>
          <w:lang w:val="en-GB" w:eastAsia="en-GB"/>
        </w:rPr>
        <w:t xml:space="preserve"> as China had done with SARS.</w:t>
      </w:r>
      <w:r w:rsidR="0056465A">
        <w:rPr>
          <w:rFonts w:ascii="Calibri" w:eastAsia="Times New Roman" w:hAnsi="Calibri" w:cs="Calibri"/>
          <w:sz w:val="22"/>
          <w:szCs w:val="22"/>
          <w:lang w:val="en-GB" w:eastAsia="en-GB"/>
        </w:rPr>
        <w:t xml:space="preserve"> </w:t>
      </w:r>
    </w:p>
    <w:p w14:paraId="3AF3F5BD" w14:textId="77777777" w:rsidR="005514A5" w:rsidRPr="005514A5" w:rsidRDefault="005514A5" w:rsidP="005514A5">
      <w:pPr>
        <w:pStyle w:val="ListParagraph"/>
        <w:rPr>
          <w:rFonts w:ascii="Calibri" w:eastAsia="Times New Roman" w:hAnsi="Calibri" w:cs="Calibri"/>
          <w:sz w:val="22"/>
          <w:szCs w:val="22"/>
          <w:lang w:val="en-GB" w:eastAsia="en-GB"/>
        </w:rPr>
      </w:pPr>
    </w:p>
    <w:p w14:paraId="05E81CA2" w14:textId="3F854FE1" w:rsidR="007F1A2A" w:rsidRPr="00B32524" w:rsidRDefault="00161689" w:rsidP="007F1A2A">
      <w:pPr>
        <w:pStyle w:val="ListParagraph"/>
        <w:numPr>
          <w:ilvl w:val="0"/>
          <w:numId w:val="63"/>
        </w:numPr>
        <w:spacing w:line="360" w:lineRule="auto"/>
        <w:jc w:val="both"/>
        <w:textAlignment w:val="baseline"/>
        <w:rPr>
          <w:rFonts w:ascii="Calibri" w:eastAsia="Times New Roman" w:hAnsi="Calibri" w:cs="Calibri"/>
          <w:sz w:val="22"/>
          <w:szCs w:val="22"/>
          <w:lang w:val="en-GB" w:eastAsia="en-GB"/>
        </w:rPr>
      </w:pPr>
      <w:r w:rsidRPr="007F1A2A">
        <w:rPr>
          <w:rFonts w:ascii="Calibri" w:eastAsia="Times New Roman" w:hAnsi="Calibri" w:cs="Calibri"/>
          <w:sz w:val="22"/>
          <w:szCs w:val="22"/>
          <w:lang w:val="en-GB" w:eastAsia="en-GB"/>
        </w:rPr>
        <w:t>The IHR went even further</w:t>
      </w:r>
      <w:r w:rsidR="004C13E6" w:rsidRPr="007F1A2A">
        <w:rPr>
          <w:rFonts w:ascii="Calibri" w:eastAsia="Times New Roman" w:hAnsi="Calibri" w:cs="Calibri"/>
          <w:sz w:val="22"/>
          <w:szCs w:val="22"/>
          <w:lang w:val="en-GB" w:eastAsia="en-GB"/>
        </w:rPr>
        <w:t xml:space="preserve"> in its efforts to encourage State Party transparency</w:t>
      </w:r>
      <w:r w:rsidR="000F48F4" w:rsidRPr="007F1A2A">
        <w:rPr>
          <w:rFonts w:ascii="Calibri" w:eastAsia="Times New Roman" w:hAnsi="Calibri" w:cs="Calibri"/>
          <w:sz w:val="22"/>
          <w:szCs w:val="22"/>
          <w:lang w:val="en-GB" w:eastAsia="en-GB"/>
        </w:rPr>
        <w:t xml:space="preserve"> in Article 43.</w:t>
      </w:r>
      <w:r w:rsidR="00FB3D1A" w:rsidRPr="007F1A2A">
        <w:rPr>
          <w:rFonts w:ascii="Calibri" w:eastAsia="Times New Roman" w:hAnsi="Calibri" w:cs="Calibri"/>
          <w:sz w:val="22"/>
          <w:szCs w:val="22"/>
          <w:lang w:val="en-GB" w:eastAsia="en-GB"/>
        </w:rPr>
        <w:t xml:space="preserve"> </w:t>
      </w:r>
      <w:r w:rsidR="00BC628F" w:rsidRPr="007F1A2A">
        <w:rPr>
          <w:rFonts w:ascii="Calibri" w:eastAsia="Times New Roman" w:hAnsi="Calibri" w:cs="Calibri"/>
          <w:sz w:val="22"/>
          <w:szCs w:val="22"/>
          <w:lang w:val="en-GB" w:eastAsia="en-GB"/>
        </w:rPr>
        <w:t>The IHR recognised</w:t>
      </w:r>
      <w:r w:rsidR="00FB3D1A" w:rsidRPr="007F1A2A">
        <w:rPr>
          <w:rFonts w:ascii="Calibri" w:eastAsia="Times New Roman" w:hAnsi="Calibri" w:cs="Calibri"/>
          <w:sz w:val="22"/>
          <w:szCs w:val="22"/>
          <w:lang w:val="en-GB" w:eastAsia="en-GB"/>
        </w:rPr>
        <w:t xml:space="preserve"> that</w:t>
      </w:r>
      <w:r w:rsidR="004D18B8" w:rsidRPr="007F1A2A">
        <w:rPr>
          <w:rFonts w:ascii="Calibri" w:eastAsia="Times New Roman" w:hAnsi="Calibri" w:cs="Calibri"/>
          <w:sz w:val="22"/>
          <w:szCs w:val="22"/>
          <w:lang w:val="en-GB" w:eastAsia="en-GB"/>
        </w:rPr>
        <w:t xml:space="preserve"> delay</w:t>
      </w:r>
      <w:r w:rsidR="00BC628F" w:rsidRPr="007F1A2A">
        <w:rPr>
          <w:rFonts w:ascii="Calibri" w:eastAsia="Times New Roman" w:hAnsi="Calibri" w:cs="Calibri"/>
          <w:sz w:val="22"/>
          <w:szCs w:val="22"/>
          <w:lang w:val="en-GB" w:eastAsia="en-GB"/>
        </w:rPr>
        <w:t>ed</w:t>
      </w:r>
      <w:r w:rsidR="004D18B8" w:rsidRPr="007F1A2A">
        <w:rPr>
          <w:rFonts w:ascii="Calibri" w:eastAsia="Times New Roman" w:hAnsi="Calibri" w:cs="Calibri"/>
          <w:sz w:val="22"/>
          <w:szCs w:val="22"/>
          <w:lang w:val="en-GB" w:eastAsia="en-GB"/>
        </w:rPr>
        <w:t xml:space="preserve"> </w:t>
      </w:r>
      <w:r w:rsidR="00BC628F" w:rsidRPr="007F1A2A">
        <w:rPr>
          <w:rFonts w:ascii="Calibri" w:eastAsia="Times New Roman" w:hAnsi="Calibri" w:cs="Calibri"/>
          <w:sz w:val="22"/>
          <w:szCs w:val="22"/>
          <w:lang w:val="en-GB" w:eastAsia="en-GB"/>
        </w:rPr>
        <w:t xml:space="preserve">notification was </w:t>
      </w:r>
      <w:r w:rsidR="00AC31C3" w:rsidRPr="007F1A2A">
        <w:rPr>
          <w:rFonts w:ascii="Calibri" w:eastAsia="Times New Roman" w:hAnsi="Calibri" w:cs="Calibri"/>
          <w:sz w:val="22"/>
          <w:szCs w:val="22"/>
          <w:lang w:val="en-GB" w:eastAsia="en-GB"/>
        </w:rPr>
        <w:t>generally motivated by</w:t>
      </w:r>
      <w:r w:rsidR="00581BB7" w:rsidRPr="007F1A2A">
        <w:rPr>
          <w:rFonts w:ascii="Calibri" w:eastAsia="Times New Roman" w:hAnsi="Calibri" w:cs="Calibri"/>
          <w:sz w:val="22"/>
          <w:szCs w:val="22"/>
          <w:lang w:val="en-GB" w:eastAsia="en-GB"/>
        </w:rPr>
        <w:t xml:space="preserve"> </w:t>
      </w:r>
      <w:r w:rsidR="002D7D86" w:rsidRPr="007F1A2A">
        <w:rPr>
          <w:rFonts w:ascii="Calibri" w:eastAsia="Times New Roman" w:hAnsi="Calibri" w:cs="Calibri"/>
          <w:sz w:val="22"/>
          <w:szCs w:val="22"/>
          <w:lang w:val="en-GB" w:eastAsia="en-GB"/>
        </w:rPr>
        <w:t xml:space="preserve">fear of </w:t>
      </w:r>
      <w:r w:rsidR="001D003C" w:rsidRPr="007F1A2A">
        <w:rPr>
          <w:rFonts w:ascii="Calibri" w:eastAsia="Times New Roman" w:hAnsi="Calibri" w:cs="Calibri"/>
          <w:sz w:val="22"/>
          <w:szCs w:val="22"/>
          <w:lang w:val="en-GB" w:eastAsia="en-GB"/>
        </w:rPr>
        <w:t xml:space="preserve">its </w:t>
      </w:r>
      <w:r w:rsidR="00EA12C8" w:rsidRPr="007F1A2A">
        <w:rPr>
          <w:rFonts w:ascii="Calibri" w:eastAsia="Times New Roman" w:hAnsi="Calibri" w:cs="Calibri"/>
          <w:sz w:val="22"/>
          <w:szCs w:val="22"/>
          <w:lang w:val="en-GB" w:eastAsia="en-GB"/>
        </w:rPr>
        <w:t>economic consequences</w:t>
      </w:r>
      <w:r w:rsidR="00DE0326" w:rsidRPr="007F1A2A">
        <w:rPr>
          <w:rFonts w:ascii="Calibri" w:eastAsia="Times New Roman" w:hAnsi="Calibri" w:cs="Calibri"/>
          <w:sz w:val="22"/>
          <w:szCs w:val="22"/>
          <w:lang w:val="en-GB" w:eastAsia="en-GB"/>
        </w:rPr>
        <w:t>.</w:t>
      </w:r>
      <w:r w:rsidR="001D003C" w:rsidRPr="007F1A2A">
        <w:rPr>
          <w:rFonts w:ascii="Calibri" w:eastAsia="Times New Roman" w:hAnsi="Calibri" w:cs="Calibri"/>
          <w:sz w:val="22"/>
          <w:szCs w:val="22"/>
          <w:lang w:val="en-GB" w:eastAsia="en-GB"/>
        </w:rPr>
        <w:t xml:space="preserve"> </w:t>
      </w:r>
      <w:r w:rsidR="00CB12CC" w:rsidRPr="007F1A2A">
        <w:rPr>
          <w:rFonts w:ascii="Calibri" w:eastAsia="Times New Roman" w:hAnsi="Calibri" w:cs="Calibri"/>
          <w:sz w:val="22"/>
          <w:szCs w:val="22"/>
          <w:lang w:val="en-GB" w:eastAsia="en-GB"/>
        </w:rPr>
        <w:t xml:space="preserve">A </w:t>
      </w:r>
      <w:r w:rsidR="00DE4D48" w:rsidRPr="007F1A2A">
        <w:rPr>
          <w:rFonts w:ascii="Calibri" w:eastAsia="Times New Roman" w:hAnsi="Calibri" w:cs="Calibri"/>
          <w:sz w:val="22"/>
          <w:szCs w:val="22"/>
          <w:lang w:val="en-GB" w:eastAsia="en-GB"/>
        </w:rPr>
        <w:t>‘quid pro quo’</w:t>
      </w:r>
      <w:r w:rsidR="00D405C5">
        <w:rPr>
          <w:rFonts w:ascii="Calibri" w:eastAsia="Times New Roman" w:hAnsi="Calibri" w:cs="Calibri"/>
          <w:sz w:val="22"/>
          <w:szCs w:val="22"/>
          <w:lang w:val="en-GB" w:eastAsia="en-GB"/>
        </w:rPr>
        <w:t xml:space="preserve"> </w:t>
      </w:r>
      <w:r w:rsidR="00D46B2C" w:rsidRPr="007F1A2A">
        <w:rPr>
          <w:rFonts w:ascii="Calibri" w:eastAsia="Times New Roman" w:hAnsi="Calibri" w:cs="Calibri"/>
          <w:sz w:val="22"/>
          <w:szCs w:val="22"/>
          <w:lang w:val="en-GB" w:eastAsia="en-GB"/>
        </w:rPr>
        <w:t>was therefore placed at the heart of</w:t>
      </w:r>
      <w:r w:rsidR="00DE4D48" w:rsidRPr="007F1A2A">
        <w:rPr>
          <w:rFonts w:ascii="Calibri" w:eastAsia="Times New Roman" w:hAnsi="Calibri" w:cs="Calibri"/>
          <w:sz w:val="22"/>
          <w:szCs w:val="22"/>
          <w:lang w:val="en-GB" w:eastAsia="en-GB"/>
        </w:rPr>
        <w:t xml:space="preserve"> regulations</w:t>
      </w:r>
      <w:r w:rsidR="006F1048" w:rsidRPr="007F1A2A">
        <w:rPr>
          <w:rFonts w:ascii="Calibri" w:eastAsia="Times New Roman" w:hAnsi="Calibri" w:cs="Calibri"/>
          <w:sz w:val="22"/>
          <w:szCs w:val="22"/>
          <w:lang w:val="en-GB" w:eastAsia="en-GB"/>
        </w:rPr>
        <w:t xml:space="preserve">: in exchange for prompt notification, </w:t>
      </w:r>
      <w:r w:rsidR="00163A05" w:rsidRPr="007F1A2A">
        <w:rPr>
          <w:rFonts w:ascii="Calibri" w:eastAsia="Times New Roman" w:hAnsi="Calibri" w:cs="Calibri"/>
          <w:sz w:val="22"/>
          <w:szCs w:val="22"/>
          <w:lang w:val="en-GB" w:eastAsia="en-GB"/>
        </w:rPr>
        <w:t xml:space="preserve">the origin country would not be subjected to </w:t>
      </w:r>
      <w:r w:rsidR="003C59F1" w:rsidRPr="007F1A2A">
        <w:rPr>
          <w:rFonts w:ascii="Calibri" w:eastAsia="Times New Roman" w:hAnsi="Calibri" w:cs="Calibri"/>
          <w:sz w:val="22"/>
          <w:szCs w:val="22"/>
          <w:lang w:val="en-GB" w:eastAsia="en-GB"/>
        </w:rPr>
        <w:t>disproportionate interference with trade and travel.</w:t>
      </w:r>
      <w:r w:rsidR="00D405C5">
        <w:rPr>
          <w:rStyle w:val="FootnoteReference"/>
          <w:rFonts w:ascii="Calibri" w:eastAsia="Times New Roman" w:hAnsi="Calibri" w:cs="Calibri"/>
          <w:sz w:val="22"/>
          <w:szCs w:val="22"/>
          <w:lang w:val="en-GB" w:eastAsia="en-GB"/>
        </w:rPr>
        <w:footnoteReference w:id="9"/>
      </w:r>
      <w:r w:rsidR="00D405C5" w:rsidRPr="007F1A2A">
        <w:rPr>
          <w:rFonts w:ascii="Calibri" w:eastAsia="Times New Roman" w:hAnsi="Calibri" w:cs="Calibri"/>
          <w:sz w:val="22"/>
          <w:szCs w:val="22"/>
          <w:lang w:val="en-GB" w:eastAsia="en-GB"/>
        </w:rPr>
        <w:t xml:space="preserve"> </w:t>
      </w:r>
      <w:r w:rsidR="003C59F1" w:rsidRPr="007F1A2A">
        <w:rPr>
          <w:rFonts w:ascii="Calibri" w:eastAsia="Times New Roman" w:hAnsi="Calibri" w:cs="Calibri"/>
          <w:sz w:val="22"/>
          <w:szCs w:val="22"/>
          <w:lang w:val="en-GB" w:eastAsia="en-GB"/>
        </w:rPr>
        <w:t xml:space="preserve"> </w:t>
      </w:r>
      <w:r w:rsidR="00B17710" w:rsidRPr="007F1A2A">
        <w:rPr>
          <w:rFonts w:ascii="Calibri" w:eastAsia="Times New Roman" w:hAnsi="Calibri" w:cs="Calibri"/>
          <w:sz w:val="22"/>
          <w:szCs w:val="22"/>
          <w:lang w:val="en-GB" w:eastAsia="en-GB"/>
        </w:rPr>
        <w:t xml:space="preserve"> Any State Party imposing </w:t>
      </w:r>
      <w:r w:rsidR="00B75851" w:rsidRPr="007F1A2A">
        <w:rPr>
          <w:rFonts w:ascii="Calibri" w:eastAsia="Times New Roman" w:hAnsi="Calibri" w:cs="Calibri"/>
          <w:sz w:val="22"/>
          <w:szCs w:val="22"/>
          <w:lang w:val="en-GB" w:eastAsia="en-GB"/>
        </w:rPr>
        <w:t xml:space="preserve">additional health measures </w:t>
      </w:r>
      <w:r w:rsidR="004C25ED" w:rsidRPr="007F1A2A">
        <w:rPr>
          <w:rFonts w:ascii="Calibri" w:eastAsia="Times New Roman" w:hAnsi="Calibri" w:cs="Calibri"/>
          <w:sz w:val="22"/>
          <w:szCs w:val="22"/>
          <w:lang w:val="en-GB" w:eastAsia="en-GB"/>
        </w:rPr>
        <w:t>that were more restrictive of international traffic would be required to provide scientific justification.</w:t>
      </w:r>
      <w:r w:rsidR="0032427A">
        <w:rPr>
          <w:rStyle w:val="FootnoteReference"/>
          <w:rFonts w:ascii="Calibri" w:eastAsia="Times New Roman" w:hAnsi="Calibri" w:cs="Calibri"/>
          <w:sz w:val="22"/>
          <w:szCs w:val="22"/>
          <w:lang w:val="en-GB" w:eastAsia="en-GB"/>
        </w:rPr>
        <w:footnoteReference w:id="10"/>
      </w:r>
      <w:r w:rsidR="004C25ED" w:rsidRPr="007F1A2A">
        <w:rPr>
          <w:rFonts w:ascii="Calibri" w:eastAsia="Times New Roman" w:hAnsi="Calibri" w:cs="Calibri"/>
          <w:sz w:val="22"/>
          <w:szCs w:val="22"/>
          <w:lang w:val="en-GB" w:eastAsia="en-GB"/>
        </w:rPr>
        <w:t xml:space="preserve"> </w:t>
      </w:r>
      <w:r w:rsidR="00D10087" w:rsidRPr="007F1A2A">
        <w:rPr>
          <w:rFonts w:ascii="Calibri" w:eastAsia="Times New Roman" w:hAnsi="Calibri" w:cs="Calibri"/>
          <w:sz w:val="22"/>
          <w:szCs w:val="22"/>
          <w:lang w:val="en-GB" w:eastAsia="en-GB"/>
        </w:rPr>
        <w:t>Article 43</w:t>
      </w:r>
      <w:r w:rsidR="009F4D56" w:rsidRPr="007F1A2A">
        <w:rPr>
          <w:rFonts w:ascii="Calibri" w:eastAsia="Times New Roman" w:hAnsi="Calibri" w:cs="Calibri"/>
          <w:sz w:val="22"/>
          <w:szCs w:val="22"/>
          <w:lang w:val="en-GB" w:eastAsia="en-GB"/>
        </w:rPr>
        <w:t xml:space="preserve"> </w:t>
      </w:r>
      <w:r w:rsidR="00BF26C8" w:rsidRPr="007F1A2A">
        <w:rPr>
          <w:rFonts w:ascii="Calibri" w:eastAsia="Times New Roman" w:hAnsi="Calibri" w:cs="Calibri"/>
          <w:sz w:val="22"/>
          <w:szCs w:val="22"/>
          <w:lang w:val="en-GB" w:eastAsia="en-GB"/>
        </w:rPr>
        <w:lastRenderedPageBreak/>
        <w:t xml:space="preserve">is fundamental </w:t>
      </w:r>
      <w:r w:rsidR="00B3261F" w:rsidRPr="007F1A2A">
        <w:rPr>
          <w:rFonts w:ascii="Calibri" w:eastAsia="Times New Roman" w:hAnsi="Calibri" w:cs="Calibri"/>
          <w:sz w:val="22"/>
          <w:szCs w:val="22"/>
          <w:lang w:val="en-GB" w:eastAsia="en-GB"/>
        </w:rPr>
        <w:t xml:space="preserve">to the IHR’s ability to prevent the international spread of disease, as </w:t>
      </w:r>
      <w:r w:rsidR="00066B96" w:rsidRPr="007F1A2A">
        <w:rPr>
          <w:rFonts w:ascii="Calibri" w:eastAsia="Times New Roman" w:hAnsi="Calibri" w:cs="Calibri"/>
          <w:sz w:val="22"/>
          <w:szCs w:val="22"/>
          <w:lang w:val="en-GB" w:eastAsia="en-GB"/>
        </w:rPr>
        <w:t xml:space="preserve">a strategy of early intervention depends on </w:t>
      </w:r>
      <w:r w:rsidR="004C2254" w:rsidRPr="007F1A2A">
        <w:rPr>
          <w:rFonts w:ascii="Calibri" w:eastAsia="Times New Roman" w:hAnsi="Calibri" w:cs="Calibri"/>
          <w:sz w:val="22"/>
          <w:szCs w:val="22"/>
          <w:lang w:val="en-GB" w:eastAsia="en-GB"/>
        </w:rPr>
        <w:t>state transparency.</w:t>
      </w:r>
      <w:r w:rsidR="009508DF" w:rsidRPr="007F1A2A">
        <w:rPr>
          <w:rFonts w:ascii="Calibri" w:eastAsia="Times New Roman" w:hAnsi="Calibri" w:cs="Calibri"/>
          <w:sz w:val="22"/>
          <w:szCs w:val="22"/>
          <w:lang w:val="en-GB" w:eastAsia="en-GB"/>
        </w:rPr>
        <w:t xml:space="preserve"> It has rightly been identified by </w:t>
      </w:r>
      <w:r w:rsidR="009F4D56" w:rsidRPr="007F1A2A">
        <w:rPr>
          <w:rFonts w:ascii="Calibri" w:eastAsia="Times New Roman" w:hAnsi="Calibri" w:cs="Calibri"/>
          <w:sz w:val="22"/>
          <w:szCs w:val="22"/>
          <w:lang w:val="en-GB" w:eastAsia="en-GB"/>
        </w:rPr>
        <w:t>the WHO as the</w:t>
      </w:r>
      <w:r w:rsidR="001E6774" w:rsidRPr="007F1A2A">
        <w:rPr>
          <w:rFonts w:ascii="Calibri" w:eastAsia="Times New Roman" w:hAnsi="Calibri" w:cs="Calibri"/>
          <w:sz w:val="22"/>
          <w:szCs w:val="22"/>
          <w:lang w:val="en-GB" w:eastAsia="en-GB"/>
        </w:rPr>
        <w:t xml:space="preserve"> “cornerstone” of the IHR.</w:t>
      </w:r>
      <w:r w:rsidR="001E6774" w:rsidRPr="007F1A2A">
        <w:rPr>
          <w:rFonts w:ascii="Calibri" w:eastAsia="Times New Roman" w:hAnsi="Calibri" w:cs="Calibri"/>
          <w:sz w:val="22"/>
          <w:szCs w:val="22"/>
          <w:vertAlign w:val="superscript"/>
          <w:lang w:val="en-GB" w:eastAsia="en-GB"/>
        </w:rPr>
        <w:t xml:space="preserve"> </w:t>
      </w:r>
      <w:r w:rsidR="001E6774" w:rsidRPr="00082765">
        <w:rPr>
          <w:rFonts w:ascii="Calibri" w:eastAsia="Times New Roman" w:hAnsi="Calibri" w:cs="Calibri"/>
          <w:sz w:val="22"/>
          <w:szCs w:val="22"/>
          <w:vertAlign w:val="superscript"/>
          <w:lang w:val="en-GB" w:eastAsia="en-GB"/>
        </w:rPr>
        <w:footnoteReference w:id="11"/>
      </w:r>
      <w:r w:rsidR="001E6774" w:rsidRPr="007F1A2A">
        <w:rPr>
          <w:rFonts w:ascii="Calibri" w:eastAsia="Times New Roman" w:hAnsi="Calibri" w:cs="Calibri"/>
          <w:sz w:val="22"/>
          <w:szCs w:val="22"/>
          <w:vertAlign w:val="superscript"/>
          <w:lang w:val="en-GB" w:eastAsia="en-GB"/>
        </w:rPr>
        <w:t xml:space="preserve"> </w:t>
      </w:r>
    </w:p>
    <w:p w14:paraId="59A939B9" w14:textId="77777777" w:rsidR="00B32524" w:rsidRPr="00B32524" w:rsidRDefault="00B32524" w:rsidP="00B32524">
      <w:pPr>
        <w:spacing w:line="360" w:lineRule="auto"/>
        <w:jc w:val="both"/>
        <w:textAlignment w:val="baseline"/>
        <w:rPr>
          <w:rFonts w:ascii="Calibri" w:eastAsia="Times New Roman" w:hAnsi="Calibri" w:cs="Calibri"/>
          <w:sz w:val="22"/>
          <w:szCs w:val="22"/>
          <w:lang w:val="en-GB" w:eastAsia="en-GB"/>
        </w:rPr>
      </w:pPr>
    </w:p>
    <w:p w14:paraId="34BD63F4" w14:textId="1AA14C7A" w:rsidR="00EF52A5" w:rsidRPr="00EF52A5" w:rsidRDefault="00FA32C0" w:rsidP="00EC000B">
      <w:pPr>
        <w:pStyle w:val="ListParagraph"/>
        <w:numPr>
          <w:ilvl w:val="0"/>
          <w:numId w:val="63"/>
        </w:numPr>
        <w:spacing w:line="360" w:lineRule="auto"/>
        <w:jc w:val="both"/>
        <w:textAlignment w:val="baseline"/>
        <w:rPr>
          <w:rFonts w:ascii="Calibri" w:eastAsia="Times New Roman" w:hAnsi="Calibri" w:cs="Calibri"/>
          <w:sz w:val="22"/>
          <w:szCs w:val="22"/>
          <w:lang w:eastAsia="en-GB"/>
        </w:rPr>
      </w:pPr>
      <w:r>
        <w:rPr>
          <w:rFonts w:ascii="Calibri" w:eastAsia="Times New Roman" w:hAnsi="Calibri" w:cs="Calibri"/>
          <w:sz w:val="22"/>
          <w:szCs w:val="22"/>
          <w:lang w:val="en-GB" w:eastAsia="en-GB"/>
        </w:rPr>
        <w:t xml:space="preserve">Few faults can be found with the </w:t>
      </w:r>
      <w:r w:rsidR="007F1A2A">
        <w:rPr>
          <w:rFonts w:ascii="Calibri" w:eastAsia="Times New Roman" w:hAnsi="Calibri" w:cs="Calibri"/>
          <w:sz w:val="22"/>
          <w:szCs w:val="22"/>
          <w:lang w:val="en-GB" w:eastAsia="en-GB"/>
        </w:rPr>
        <w:t xml:space="preserve">general </w:t>
      </w:r>
      <w:r>
        <w:rPr>
          <w:rFonts w:ascii="Calibri" w:eastAsia="Times New Roman" w:hAnsi="Calibri" w:cs="Calibri"/>
          <w:sz w:val="22"/>
          <w:szCs w:val="22"/>
          <w:lang w:val="en-GB" w:eastAsia="en-GB"/>
        </w:rPr>
        <w:t>strategy codifie</w:t>
      </w:r>
      <w:r w:rsidR="007F1A2A">
        <w:rPr>
          <w:rFonts w:ascii="Calibri" w:eastAsia="Times New Roman" w:hAnsi="Calibri" w:cs="Calibri"/>
          <w:sz w:val="22"/>
          <w:szCs w:val="22"/>
          <w:lang w:val="en-GB" w:eastAsia="en-GB"/>
        </w:rPr>
        <w:t>d by the IHR</w:t>
      </w:r>
      <w:r>
        <w:rPr>
          <w:rFonts w:ascii="Calibri" w:eastAsia="Times New Roman" w:hAnsi="Calibri" w:cs="Calibri"/>
          <w:sz w:val="22"/>
          <w:szCs w:val="22"/>
          <w:lang w:val="en-GB" w:eastAsia="en-GB"/>
        </w:rPr>
        <w:t>.</w:t>
      </w:r>
      <w:r w:rsidR="003419D7">
        <w:rPr>
          <w:rFonts w:ascii="Calibri" w:eastAsia="Times New Roman" w:hAnsi="Calibri" w:cs="Calibri"/>
          <w:sz w:val="22"/>
          <w:szCs w:val="22"/>
          <w:lang w:val="en-GB" w:eastAsia="en-GB"/>
        </w:rPr>
        <w:t xml:space="preserve"> Beyond</w:t>
      </w:r>
      <w:r w:rsidR="00E70F7D">
        <w:rPr>
          <w:rFonts w:ascii="Calibri" w:eastAsia="Times New Roman" w:hAnsi="Calibri" w:cs="Calibri"/>
          <w:sz w:val="22"/>
          <w:szCs w:val="22"/>
          <w:lang w:val="en-GB" w:eastAsia="en-GB"/>
        </w:rPr>
        <w:t xml:space="preserve"> </w:t>
      </w:r>
      <w:r w:rsidR="003419D7">
        <w:rPr>
          <w:rFonts w:ascii="Calibri" w:eastAsia="Times New Roman" w:hAnsi="Calibri" w:cs="Calibri"/>
          <w:sz w:val="22"/>
          <w:szCs w:val="22"/>
          <w:lang w:val="en-GB" w:eastAsia="en-GB"/>
        </w:rPr>
        <w:t>argument</w:t>
      </w:r>
      <w:r w:rsidR="00E70F7D">
        <w:rPr>
          <w:rFonts w:ascii="Calibri" w:eastAsia="Times New Roman" w:hAnsi="Calibri" w:cs="Calibri"/>
          <w:sz w:val="22"/>
          <w:szCs w:val="22"/>
          <w:lang w:val="en-GB" w:eastAsia="en-GB"/>
        </w:rPr>
        <w:t>s</w:t>
      </w:r>
      <w:r w:rsidR="003419D7">
        <w:rPr>
          <w:rFonts w:ascii="Calibri" w:eastAsia="Times New Roman" w:hAnsi="Calibri" w:cs="Calibri"/>
          <w:sz w:val="22"/>
          <w:szCs w:val="22"/>
          <w:lang w:val="en-GB" w:eastAsia="en-GB"/>
        </w:rPr>
        <w:t xml:space="preserve"> for the introduction of </w:t>
      </w:r>
      <w:r w:rsidR="0069253B">
        <w:rPr>
          <w:rFonts w:ascii="Calibri" w:eastAsia="Times New Roman" w:hAnsi="Calibri" w:cs="Calibri"/>
          <w:sz w:val="22"/>
          <w:szCs w:val="22"/>
          <w:lang w:val="en-GB" w:eastAsia="en-GB"/>
        </w:rPr>
        <w:t xml:space="preserve">a number of </w:t>
      </w:r>
      <w:r w:rsidR="004572D9">
        <w:rPr>
          <w:rFonts w:ascii="Calibri" w:eastAsia="Times New Roman" w:hAnsi="Calibri" w:cs="Calibri"/>
          <w:sz w:val="22"/>
          <w:szCs w:val="22"/>
          <w:lang w:val="en-GB" w:eastAsia="en-GB"/>
        </w:rPr>
        <w:t>preliminary</w:t>
      </w:r>
      <w:r w:rsidR="00376553">
        <w:rPr>
          <w:rFonts w:ascii="Calibri" w:eastAsia="Times New Roman" w:hAnsi="Calibri" w:cs="Calibri"/>
          <w:sz w:val="22"/>
          <w:szCs w:val="22"/>
          <w:lang w:val="en-GB" w:eastAsia="en-GB"/>
        </w:rPr>
        <w:t xml:space="preserve"> </w:t>
      </w:r>
      <w:r w:rsidR="004572D9">
        <w:rPr>
          <w:rFonts w:ascii="Calibri" w:eastAsia="Times New Roman" w:hAnsi="Calibri" w:cs="Calibri"/>
          <w:sz w:val="22"/>
          <w:szCs w:val="22"/>
          <w:lang w:val="en-GB" w:eastAsia="en-GB"/>
        </w:rPr>
        <w:t xml:space="preserve">stages of alert </w:t>
      </w:r>
      <w:r w:rsidR="00E20666">
        <w:rPr>
          <w:rFonts w:ascii="Calibri" w:eastAsia="Times New Roman" w:hAnsi="Calibri" w:cs="Calibri"/>
          <w:sz w:val="22"/>
          <w:szCs w:val="22"/>
          <w:lang w:val="en-GB" w:eastAsia="en-GB"/>
        </w:rPr>
        <w:t>with a lower threshold than a PHEIC</w:t>
      </w:r>
      <w:r w:rsidR="007945EB">
        <w:rPr>
          <w:rFonts w:ascii="Calibri" w:eastAsia="Times New Roman" w:hAnsi="Calibri" w:cs="Calibri"/>
          <w:sz w:val="22"/>
          <w:szCs w:val="22"/>
          <w:lang w:val="en-GB" w:eastAsia="en-GB"/>
        </w:rPr>
        <w:t xml:space="preserve"> declaration, there has not been </w:t>
      </w:r>
      <w:r w:rsidR="00B27AE1">
        <w:rPr>
          <w:rFonts w:ascii="Calibri" w:eastAsia="Times New Roman" w:hAnsi="Calibri" w:cs="Calibri"/>
          <w:sz w:val="22"/>
          <w:szCs w:val="22"/>
          <w:lang w:val="en-GB" w:eastAsia="en-GB"/>
        </w:rPr>
        <w:t>notable criticism of the IHR’s basic approach to epidemic prevention.</w:t>
      </w:r>
      <w:r w:rsidR="0079722E">
        <w:rPr>
          <w:rStyle w:val="FootnoteReference"/>
          <w:rFonts w:ascii="Calibri" w:eastAsia="Times New Roman" w:hAnsi="Calibri" w:cs="Calibri"/>
          <w:sz w:val="22"/>
          <w:szCs w:val="22"/>
          <w:lang w:val="en-GB" w:eastAsia="en-GB"/>
        </w:rPr>
        <w:footnoteReference w:id="12"/>
      </w:r>
      <w:r w:rsidR="00E20666">
        <w:rPr>
          <w:rFonts w:ascii="Calibri" w:eastAsia="Times New Roman" w:hAnsi="Calibri" w:cs="Calibri"/>
          <w:sz w:val="22"/>
          <w:szCs w:val="22"/>
          <w:lang w:val="en-GB" w:eastAsia="en-GB"/>
        </w:rPr>
        <w:t xml:space="preserve"> </w:t>
      </w:r>
      <w:r w:rsidR="004E79B6">
        <w:rPr>
          <w:rFonts w:ascii="Calibri" w:eastAsia="Times New Roman" w:hAnsi="Calibri" w:cs="Calibri"/>
          <w:sz w:val="22"/>
          <w:szCs w:val="22"/>
          <w:lang w:val="en-GB" w:eastAsia="en-GB"/>
        </w:rPr>
        <w:t xml:space="preserve">There has, however, been abundant criticism of </w:t>
      </w:r>
      <w:r w:rsidR="00B32524">
        <w:rPr>
          <w:rFonts w:ascii="Calibri" w:eastAsia="Times New Roman" w:hAnsi="Calibri" w:cs="Calibri"/>
          <w:sz w:val="22"/>
          <w:szCs w:val="22"/>
          <w:lang w:val="en-GB" w:eastAsia="en-GB"/>
        </w:rPr>
        <w:t>the IHR’s implementation.</w:t>
      </w:r>
      <w:r w:rsidR="00F23FB1">
        <w:rPr>
          <w:rFonts w:ascii="Calibri" w:eastAsia="Times New Roman" w:hAnsi="Calibri" w:cs="Calibri"/>
          <w:sz w:val="22"/>
          <w:szCs w:val="22"/>
          <w:lang w:val="en-GB" w:eastAsia="en-GB"/>
        </w:rPr>
        <w:t xml:space="preserve"> </w:t>
      </w:r>
    </w:p>
    <w:p w14:paraId="60B05663" w14:textId="77777777" w:rsidR="00EF52A5" w:rsidRPr="00EF52A5" w:rsidRDefault="00EF52A5" w:rsidP="00EF52A5">
      <w:pPr>
        <w:pStyle w:val="ListParagraph"/>
        <w:rPr>
          <w:rFonts w:ascii="Calibri" w:eastAsia="Times New Roman" w:hAnsi="Calibri" w:cs="Calibri"/>
          <w:sz w:val="22"/>
          <w:szCs w:val="22"/>
          <w:lang w:val="en-GB" w:eastAsia="en-GB"/>
        </w:rPr>
      </w:pPr>
    </w:p>
    <w:p w14:paraId="7374080A" w14:textId="7FE9C3B3" w:rsidR="00FB1F59" w:rsidRPr="001530D3" w:rsidRDefault="00D326DF" w:rsidP="001530D3">
      <w:pPr>
        <w:pStyle w:val="ListParagraph"/>
        <w:numPr>
          <w:ilvl w:val="0"/>
          <w:numId w:val="63"/>
        </w:numPr>
        <w:spacing w:line="360" w:lineRule="auto"/>
        <w:textAlignment w:val="baseline"/>
        <w:rPr>
          <w:rFonts w:ascii="Calibri" w:eastAsia="Times New Roman" w:hAnsi="Calibri" w:cs="Calibri"/>
          <w:sz w:val="22"/>
          <w:szCs w:val="22"/>
          <w:lang w:val="en-GB" w:eastAsia="en-GB"/>
        </w:rPr>
      </w:pPr>
      <w:r w:rsidRPr="00D326DF">
        <w:rPr>
          <w:rFonts w:ascii="Calibri" w:eastAsia="Times New Roman" w:hAnsi="Calibri" w:cs="Calibri"/>
          <w:sz w:val="22"/>
          <w:szCs w:val="22"/>
          <w:lang w:val="en-GB" w:eastAsia="en-GB"/>
        </w:rPr>
        <w:t>Non-compliance of states parties with their IHR obligations is a persistent</w:t>
      </w:r>
      <w:r>
        <w:rPr>
          <w:rFonts w:ascii="Calibri" w:eastAsia="Times New Roman" w:hAnsi="Calibri" w:cs="Calibri"/>
          <w:b/>
          <w:bCs/>
          <w:sz w:val="22"/>
          <w:szCs w:val="22"/>
          <w:lang w:val="en-GB" w:eastAsia="en-GB"/>
        </w:rPr>
        <w:t xml:space="preserve"> </w:t>
      </w:r>
      <w:r w:rsidRPr="00D326DF">
        <w:rPr>
          <w:rFonts w:ascii="Calibri" w:eastAsia="Times New Roman" w:hAnsi="Calibri" w:cs="Calibri"/>
          <w:sz w:val="22"/>
          <w:szCs w:val="22"/>
          <w:lang w:val="en-GB" w:eastAsia="en-GB"/>
        </w:rPr>
        <w:t>problem. States Parties regularly ignore the WHO Director-General's temporary recommendations upon declaration of a PHEIC, imposing travel or trade restrictions that have been expressly identified by the Director-General as unnecessary. This was seen in the response to the first ever PHEIC of the 2009 H1N1 pandemic, with a number of states banning pork imports and implementing travel restrictions.</w:t>
      </w:r>
      <w:r w:rsidR="001203EF">
        <w:rPr>
          <w:rStyle w:val="FootnoteReference"/>
          <w:rFonts w:ascii="Calibri" w:eastAsia="Times New Roman" w:hAnsi="Calibri" w:cs="Calibri"/>
          <w:sz w:val="22"/>
          <w:szCs w:val="22"/>
          <w:lang w:val="en-GB" w:eastAsia="en-GB"/>
        </w:rPr>
        <w:footnoteReference w:id="13"/>
      </w:r>
      <w:r w:rsidRPr="00D326DF">
        <w:rPr>
          <w:rFonts w:ascii="Calibri" w:eastAsia="Times New Roman" w:hAnsi="Calibri" w:cs="Calibri"/>
          <w:sz w:val="22"/>
          <w:szCs w:val="22"/>
          <w:lang w:val="en-GB" w:eastAsia="en-GB"/>
        </w:rPr>
        <w:t xml:space="preserve"> Disregard for Article 43 obligations has become a pattern of behaviour, seen again on a much larger scale in the current pandemic. </w:t>
      </w:r>
      <w:r w:rsidR="00BF05D8">
        <w:rPr>
          <w:rFonts w:ascii="Calibri" w:eastAsia="Times New Roman" w:hAnsi="Calibri" w:cs="Calibri"/>
          <w:sz w:val="22"/>
          <w:szCs w:val="22"/>
          <w:lang w:val="en-GB" w:eastAsia="en-GB"/>
        </w:rPr>
        <w:t xml:space="preserve">145 </w:t>
      </w:r>
      <w:r w:rsidRPr="00D326DF">
        <w:rPr>
          <w:rFonts w:ascii="Calibri" w:eastAsia="Times New Roman" w:hAnsi="Calibri" w:cs="Calibri"/>
          <w:sz w:val="22"/>
          <w:szCs w:val="22"/>
          <w:lang w:val="en-GB" w:eastAsia="en-GB"/>
        </w:rPr>
        <w:t>countries introduced entry restrictions of varying degrees of severity, contrary to the WHO’s temporary recommendations.</w:t>
      </w:r>
      <w:r w:rsidRPr="00D326DF">
        <w:rPr>
          <w:rFonts w:ascii="Calibri" w:eastAsia="Times New Roman" w:hAnsi="Calibri" w:cs="Calibri"/>
          <w:sz w:val="22"/>
          <w:szCs w:val="22"/>
          <w:vertAlign w:val="superscript"/>
          <w:lang w:val="en-GB" w:eastAsia="en-GB"/>
        </w:rPr>
        <w:footnoteReference w:id="14"/>
      </w:r>
      <w:r w:rsidRPr="00D326DF">
        <w:rPr>
          <w:rFonts w:ascii="Calibri" w:eastAsia="Times New Roman" w:hAnsi="Calibri" w:cs="Calibri"/>
          <w:sz w:val="22"/>
          <w:szCs w:val="22"/>
          <w:lang w:val="en-GB" w:eastAsia="en-GB"/>
        </w:rPr>
        <w:t xml:space="preserve"> Most of these states have not even attempted to uphold a</w:t>
      </w:r>
      <w:r w:rsidR="00953FDC">
        <w:rPr>
          <w:rFonts w:ascii="Calibri" w:eastAsia="Times New Roman" w:hAnsi="Calibri" w:cs="Calibri"/>
          <w:sz w:val="22"/>
          <w:szCs w:val="22"/>
          <w:lang w:val="en-GB" w:eastAsia="en-GB"/>
        </w:rPr>
        <w:t xml:space="preserve"> façade </w:t>
      </w:r>
      <w:r w:rsidRPr="00D326DF">
        <w:rPr>
          <w:rFonts w:ascii="Calibri" w:eastAsia="Times New Roman" w:hAnsi="Calibri" w:cs="Calibri"/>
          <w:sz w:val="22"/>
          <w:szCs w:val="22"/>
          <w:lang w:val="en-GB" w:eastAsia="en-GB"/>
        </w:rPr>
        <w:t>of IHR</w:t>
      </w:r>
      <w:r w:rsidR="00953FDC">
        <w:rPr>
          <w:rFonts w:ascii="Calibri" w:eastAsia="Times New Roman" w:hAnsi="Calibri" w:cs="Calibri"/>
          <w:sz w:val="22"/>
          <w:szCs w:val="22"/>
          <w:lang w:val="en-GB" w:eastAsia="en-GB"/>
        </w:rPr>
        <w:t xml:space="preserve"> compliance</w:t>
      </w:r>
      <w:r w:rsidRPr="00D326DF">
        <w:rPr>
          <w:rFonts w:ascii="Calibri" w:eastAsia="Times New Roman" w:hAnsi="Calibri" w:cs="Calibri"/>
          <w:sz w:val="22"/>
          <w:szCs w:val="22"/>
          <w:lang w:val="en-GB" w:eastAsia="en-GB"/>
        </w:rPr>
        <w:t>, with only 45 states officially informing WHO of their additional measures as required under Articles 43.3 and 43.5 (according to the WHO’s 10 March Situation Report).</w:t>
      </w:r>
      <w:r w:rsidRPr="00D326DF">
        <w:rPr>
          <w:rFonts w:ascii="Calibri" w:eastAsia="Times New Roman" w:hAnsi="Calibri" w:cs="Calibri"/>
          <w:sz w:val="22"/>
          <w:szCs w:val="22"/>
          <w:vertAlign w:val="superscript"/>
          <w:lang w:val="en-GB" w:eastAsia="en-GB"/>
        </w:rPr>
        <w:footnoteReference w:id="15"/>
      </w:r>
      <w:r w:rsidRPr="00D326DF">
        <w:rPr>
          <w:rFonts w:ascii="Calibri" w:eastAsia="Times New Roman" w:hAnsi="Calibri" w:cs="Calibri"/>
          <w:sz w:val="22"/>
          <w:szCs w:val="22"/>
          <w:lang w:val="en-GB" w:eastAsia="en-GB"/>
        </w:rPr>
        <w:t xml:space="preserve"> </w:t>
      </w:r>
    </w:p>
    <w:p w14:paraId="16ED8025" w14:textId="77777777" w:rsidR="00EE09E3" w:rsidRPr="00EE09E3" w:rsidRDefault="00EE09E3" w:rsidP="00463277">
      <w:pPr>
        <w:spacing w:line="360" w:lineRule="auto"/>
        <w:jc w:val="both"/>
        <w:textAlignment w:val="baseline"/>
        <w:rPr>
          <w:rFonts w:ascii="Arial" w:eastAsia="Times New Roman" w:hAnsi="Arial" w:cs="Arial"/>
          <w:sz w:val="18"/>
          <w:szCs w:val="18"/>
          <w:lang w:val="en-US" w:eastAsia="en-GB"/>
        </w:rPr>
      </w:pPr>
      <w:r w:rsidRPr="00EE09E3">
        <w:rPr>
          <w:rFonts w:ascii="Calibri" w:eastAsia="Times New Roman" w:hAnsi="Calibri" w:cs="Calibri"/>
          <w:sz w:val="22"/>
          <w:szCs w:val="22"/>
          <w:lang w:val="en-US" w:eastAsia="en-GB"/>
        </w:rPr>
        <w:t> </w:t>
      </w:r>
    </w:p>
    <w:p w14:paraId="680F8AF5" w14:textId="79BE2ABE" w:rsidR="000D1AE0" w:rsidRPr="004439B8" w:rsidRDefault="00EE09E3" w:rsidP="000D1AE0">
      <w:pPr>
        <w:pStyle w:val="ListParagraph"/>
        <w:numPr>
          <w:ilvl w:val="0"/>
          <w:numId w:val="63"/>
        </w:numPr>
        <w:spacing w:line="360" w:lineRule="auto"/>
        <w:jc w:val="both"/>
        <w:textAlignment w:val="baseline"/>
        <w:rPr>
          <w:rFonts w:ascii="Calibri" w:eastAsia="Times New Roman" w:hAnsi="Calibri" w:cs="Calibri"/>
          <w:sz w:val="22"/>
          <w:szCs w:val="22"/>
          <w:lang w:val="en-US" w:eastAsia="en-GB"/>
        </w:rPr>
      </w:pPr>
      <w:r w:rsidRPr="005A0D50">
        <w:rPr>
          <w:rFonts w:ascii="Calibri" w:eastAsia="Times New Roman" w:hAnsi="Calibri" w:cs="Calibri"/>
          <w:sz w:val="22"/>
          <w:szCs w:val="22"/>
          <w:lang w:val="en-GB" w:eastAsia="en-GB"/>
        </w:rPr>
        <w:t>Non-compliance is not limited to the activity of States Parties following a declaration of PHEIC. It is a pervasive issue,</w:t>
      </w:r>
      <w:r w:rsidR="008E59A3">
        <w:rPr>
          <w:rFonts w:ascii="Calibri" w:eastAsia="Times New Roman" w:hAnsi="Calibri" w:cs="Calibri"/>
          <w:sz w:val="22"/>
          <w:szCs w:val="22"/>
          <w:lang w:val="en-GB" w:eastAsia="en-GB"/>
        </w:rPr>
        <w:t xml:space="preserve"> </w:t>
      </w:r>
      <w:r w:rsidRPr="005A0D50">
        <w:rPr>
          <w:rFonts w:ascii="Calibri" w:eastAsia="Times New Roman" w:hAnsi="Calibri" w:cs="Calibri"/>
          <w:sz w:val="22"/>
          <w:szCs w:val="22"/>
          <w:lang w:val="en-GB" w:eastAsia="en-GB"/>
        </w:rPr>
        <w:t>with States Parties consistently reneging on their core capacities obligation.  In 2014, two years after</w:t>
      </w:r>
      <w:r w:rsidR="008E59A3">
        <w:rPr>
          <w:rFonts w:ascii="Calibri" w:eastAsia="Times New Roman" w:hAnsi="Calibri" w:cs="Calibri"/>
          <w:sz w:val="22"/>
          <w:szCs w:val="22"/>
          <w:lang w:val="en-GB" w:eastAsia="en-GB"/>
        </w:rPr>
        <w:t xml:space="preserve"> the</w:t>
      </w:r>
      <w:r w:rsidRPr="005A0D50">
        <w:rPr>
          <w:rFonts w:ascii="Calibri" w:eastAsia="Times New Roman" w:hAnsi="Calibri" w:cs="Calibri"/>
          <w:sz w:val="22"/>
          <w:szCs w:val="22"/>
          <w:lang w:val="en-GB" w:eastAsia="en-GB"/>
        </w:rPr>
        <w:t> initial 2012 deadline for meeting these capacities, only 64 States Parties claimed to have fulfilled this obligation.</w:t>
      </w:r>
      <w:r w:rsidR="00222BB3">
        <w:rPr>
          <w:rStyle w:val="FootnoteReference"/>
          <w:rFonts w:ascii="Calibri" w:eastAsia="Times New Roman" w:hAnsi="Calibri" w:cs="Calibri"/>
          <w:sz w:val="22"/>
          <w:szCs w:val="22"/>
          <w:lang w:val="en-GB" w:eastAsia="en-GB"/>
        </w:rPr>
        <w:footnoteReference w:id="16"/>
      </w:r>
      <w:r w:rsidRPr="005A0D50">
        <w:rPr>
          <w:rFonts w:ascii="Calibri" w:eastAsia="Times New Roman" w:hAnsi="Calibri" w:cs="Calibri"/>
          <w:sz w:val="22"/>
          <w:szCs w:val="22"/>
          <w:lang w:val="en-GB" w:eastAsia="en-GB"/>
        </w:rPr>
        <w:t xml:space="preserve"> In an even more </w:t>
      </w:r>
      <w:r w:rsidRPr="005A0D50">
        <w:rPr>
          <w:rFonts w:ascii="Calibri" w:eastAsia="Times New Roman" w:hAnsi="Calibri" w:cs="Calibri"/>
          <w:sz w:val="22"/>
          <w:szCs w:val="22"/>
          <w:lang w:val="en-GB" w:eastAsia="en-GB"/>
        </w:rPr>
        <w:lastRenderedPageBreak/>
        <w:t>concerning display of indifference, </w:t>
      </w:r>
      <w:r w:rsidR="00AC6987">
        <w:rPr>
          <w:rFonts w:ascii="Calibri" w:eastAsia="Times New Roman" w:hAnsi="Calibri" w:cs="Calibri"/>
          <w:sz w:val="22"/>
          <w:szCs w:val="22"/>
          <w:lang w:val="en-GB" w:eastAsia="en-GB"/>
        </w:rPr>
        <w:t>48 States Parties did not even respond to WHO’s request to report on their core capacities.</w:t>
      </w:r>
      <w:r w:rsidR="00D20385" w:rsidRPr="4A5A26F0">
        <w:rPr>
          <w:rStyle w:val="FootnoteReference"/>
          <w:lang w:val="en-GB"/>
        </w:rPr>
        <w:footnoteReference w:id="17"/>
      </w:r>
      <w:r w:rsidR="00D20385" w:rsidRPr="4A5A26F0">
        <w:rPr>
          <w:lang w:val="en-GB"/>
        </w:rPr>
        <w:t xml:space="preserve">   </w:t>
      </w:r>
    </w:p>
    <w:p w14:paraId="25D0F72F" w14:textId="77777777" w:rsidR="004439B8" w:rsidRPr="004439B8" w:rsidRDefault="004439B8" w:rsidP="004439B8">
      <w:pPr>
        <w:spacing w:line="360" w:lineRule="auto"/>
        <w:jc w:val="both"/>
        <w:textAlignment w:val="baseline"/>
        <w:rPr>
          <w:rFonts w:ascii="Calibri" w:eastAsia="Times New Roman" w:hAnsi="Calibri" w:cs="Calibri"/>
          <w:sz w:val="22"/>
          <w:szCs w:val="22"/>
          <w:lang w:val="en-US" w:eastAsia="en-GB"/>
        </w:rPr>
      </w:pPr>
    </w:p>
    <w:p w14:paraId="7284D949" w14:textId="43F0DFA5" w:rsidR="00AF0333" w:rsidRPr="00424D86" w:rsidRDefault="00EE09E3" w:rsidP="00AF0333">
      <w:pPr>
        <w:pStyle w:val="ListParagraph"/>
        <w:numPr>
          <w:ilvl w:val="0"/>
          <w:numId w:val="63"/>
        </w:numPr>
        <w:spacing w:line="360" w:lineRule="auto"/>
        <w:jc w:val="both"/>
        <w:textAlignment w:val="baseline"/>
        <w:rPr>
          <w:rFonts w:ascii="Calibri" w:eastAsia="Times New Roman" w:hAnsi="Calibri" w:cs="Calibri"/>
          <w:sz w:val="22"/>
          <w:szCs w:val="22"/>
          <w:lang w:val="en-US" w:eastAsia="en-GB"/>
        </w:rPr>
      </w:pPr>
      <w:r w:rsidRPr="000D1AE0">
        <w:rPr>
          <w:rFonts w:ascii="Calibri" w:eastAsia="Times New Roman" w:hAnsi="Calibri" w:cs="Calibri"/>
          <w:sz w:val="22"/>
          <w:szCs w:val="22"/>
          <w:lang w:val="en-GB" w:eastAsia="en-GB"/>
        </w:rPr>
        <w:t>Due to widespread non-compliance, the lack of enforcement mechanisms within the IHR framework is frequently identified as a major flaw of the IHR. Indeed, the WHO’s Review Committee on the functioning of the IHR 2005 and the H1N1 pandemic declared the lack of sanctions as ‘the most important structural shortcoming of the IHR’</w:t>
      </w:r>
      <w:r w:rsidR="004967E6">
        <w:rPr>
          <w:rFonts w:ascii="Calibri" w:eastAsia="Times New Roman" w:hAnsi="Calibri" w:cs="Calibri"/>
          <w:sz w:val="22"/>
          <w:szCs w:val="22"/>
          <w:lang w:val="en-GB" w:eastAsia="en-GB"/>
        </w:rPr>
        <w:t>.</w:t>
      </w:r>
      <w:r w:rsidR="004967E6" w:rsidRPr="4A5A26F0">
        <w:rPr>
          <w:rStyle w:val="FootnoteReference"/>
          <w:lang w:val="en-GB"/>
        </w:rPr>
        <w:footnoteReference w:id="18"/>
      </w:r>
      <w:r w:rsidR="004967E6">
        <w:rPr>
          <w:rFonts w:ascii="Calibri" w:eastAsia="Times New Roman" w:hAnsi="Calibri" w:cs="Calibri"/>
          <w:sz w:val="22"/>
          <w:szCs w:val="22"/>
          <w:lang w:val="en-GB" w:eastAsia="en-GB"/>
        </w:rPr>
        <w:t xml:space="preserve"> </w:t>
      </w:r>
      <w:r w:rsidRPr="000D1AE0">
        <w:rPr>
          <w:rFonts w:ascii="Calibri" w:eastAsia="Times New Roman" w:hAnsi="Calibri" w:cs="Calibri"/>
          <w:sz w:val="22"/>
          <w:szCs w:val="22"/>
          <w:lang w:val="en-GB" w:eastAsia="en-GB"/>
        </w:rPr>
        <w:t>The absence of any concrete enforcement mechanisms is undoubtedly a significant flaw of the IHR. The 2012 deadline for meeting the IHR core capacities requirements did not come with any consequences, and the deadline was in any event extended to 2016 for all 81 requesting States Parties </w:t>
      </w:r>
      <w:r w:rsidRPr="00EA1D9B">
        <w:rPr>
          <w:rFonts w:ascii="Calibri" w:eastAsia="Times New Roman" w:hAnsi="Calibri" w:cs="Calibri"/>
          <w:sz w:val="22"/>
          <w:szCs w:val="22"/>
          <w:lang w:val="en-GB" w:eastAsia="en-GB"/>
        </w:rPr>
        <w:t>by</w:t>
      </w:r>
      <w:r w:rsidR="00EA1D9B">
        <w:rPr>
          <w:rFonts w:ascii="Calibri" w:eastAsia="Times New Roman" w:hAnsi="Calibri" w:cs="Calibri"/>
          <w:sz w:val="22"/>
          <w:szCs w:val="22"/>
          <w:lang w:val="en-GB" w:eastAsia="en-GB"/>
        </w:rPr>
        <w:t xml:space="preserve"> State Party representatives</w:t>
      </w:r>
      <w:r w:rsidR="00EA1D9B" w:rsidRPr="00EA1D9B">
        <w:rPr>
          <w:rFonts w:ascii="Calibri" w:eastAsia="Times New Roman" w:hAnsi="Calibri" w:cs="Calibri"/>
          <w:sz w:val="22"/>
          <w:szCs w:val="22"/>
          <w:lang w:val="en-GB" w:eastAsia="en-GB"/>
        </w:rPr>
        <w:t xml:space="preserve"> </w:t>
      </w:r>
      <w:r w:rsidRPr="00EA1D9B">
        <w:rPr>
          <w:rFonts w:ascii="Calibri" w:eastAsia="Times New Roman" w:hAnsi="Calibri" w:cs="Calibri"/>
          <w:sz w:val="22"/>
          <w:szCs w:val="22"/>
          <w:lang w:val="en-GB" w:eastAsia="en-GB"/>
        </w:rPr>
        <w:t>at the 68th World Health Assembly</w:t>
      </w:r>
      <w:r w:rsidR="004967E6" w:rsidRPr="00EA1D9B">
        <w:rPr>
          <w:rFonts w:ascii="Calibri" w:eastAsia="Times New Roman" w:hAnsi="Calibri" w:cs="Calibri"/>
          <w:sz w:val="22"/>
          <w:szCs w:val="22"/>
          <w:lang w:val="en-GB" w:eastAsia="en-GB"/>
        </w:rPr>
        <w:t>.</w:t>
      </w:r>
      <w:r w:rsidR="004967E6" w:rsidRPr="00EA1D9B">
        <w:rPr>
          <w:rStyle w:val="FootnoteReference"/>
          <w:lang w:val="en-GB"/>
        </w:rPr>
        <w:footnoteReference w:id="19"/>
      </w:r>
      <w:r w:rsidR="004967E6" w:rsidRPr="00EA1D9B">
        <w:rPr>
          <w:rFonts w:ascii="Calibri" w:eastAsia="Times New Roman" w:hAnsi="Calibri" w:cs="Calibri"/>
          <w:sz w:val="22"/>
          <w:szCs w:val="22"/>
          <w:lang w:val="en-GB" w:eastAsia="en-GB"/>
        </w:rPr>
        <w:t xml:space="preserve"> </w:t>
      </w:r>
      <w:r w:rsidRPr="00EA1D9B">
        <w:rPr>
          <w:rFonts w:ascii="Calibri" w:eastAsia="Times New Roman" w:hAnsi="Calibri" w:cs="Calibri"/>
          <w:sz w:val="22"/>
          <w:szCs w:val="22"/>
          <w:lang w:val="en-GB" w:eastAsia="en-GB"/>
        </w:rPr>
        <w:t>The granting</w:t>
      </w:r>
      <w:r w:rsidRPr="000D1AE0">
        <w:rPr>
          <w:rFonts w:ascii="Calibri" w:eastAsia="Times New Roman" w:hAnsi="Calibri" w:cs="Calibri"/>
          <w:sz w:val="22"/>
          <w:szCs w:val="22"/>
          <w:lang w:val="en-GB" w:eastAsia="en-GB"/>
        </w:rPr>
        <w:t xml:space="preserve"> of an additional extension to</w:t>
      </w:r>
      <w:r w:rsidR="002F7876" w:rsidRPr="000D1AE0">
        <w:rPr>
          <w:rFonts w:ascii="Calibri" w:eastAsia="Times New Roman" w:hAnsi="Calibri" w:cs="Calibri"/>
          <w:sz w:val="22"/>
          <w:szCs w:val="22"/>
          <w:lang w:val="en-GB" w:eastAsia="en-GB"/>
        </w:rPr>
        <w:t xml:space="preserve"> </w:t>
      </w:r>
      <w:r w:rsidRPr="000D1AE0">
        <w:rPr>
          <w:rFonts w:ascii="Calibri" w:eastAsia="Times New Roman" w:hAnsi="Calibri" w:cs="Calibri"/>
          <w:sz w:val="22"/>
          <w:szCs w:val="22"/>
          <w:lang w:val="en-GB" w:eastAsia="en-GB"/>
        </w:rPr>
        <w:t>more than</w:t>
      </w:r>
      <w:r w:rsidR="002F7876" w:rsidRPr="000D1AE0">
        <w:rPr>
          <w:rFonts w:ascii="Calibri" w:eastAsia="Times New Roman" w:hAnsi="Calibri" w:cs="Calibri"/>
          <w:sz w:val="22"/>
          <w:szCs w:val="22"/>
          <w:lang w:val="en-GB" w:eastAsia="en-GB"/>
        </w:rPr>
        <w:t xml:space="preserve"> </w:t>
      </w:r>
      <w:r w:rsidRPr="000D1AE0">
        <w:rPr>
          <w:rFonts w:ascii="Calibri" w:eastAsia="Times New Roman" w:hAnsi="Calibri" w:cs="Calibri"/>
          <w:sz w:val="22"/>
          <w:szCs w:val="22"/>
          <w:lang w:val="en-GB" w:eastAsia="en-GB"/>
        </w:rPr>
        <w:t>40%</w:t>
      </w:r>
      <w:r w:rsidR="002F7876" w:rsidRPr="000D1AE0">
        <w:rPr>
          <w:rFonts w:ascii="Calibri" w:eastAsia="Times New Roman" w:hAnsi="Calibri" w:cs="Calibri"/>
          <w:sz w:val="22"/>
          <w:szCs w:val="22"/>
          <w:lang w:val="en-GB" w:eastAsia="en-GB"/>
        </w:rPr>
        <w:t xml:space="preserve"> </w:t>
      </w:r>
      <w:r w:rsidRPr="000D1AE0">
        <w:rPr>
          <w:rFonts w:ascii="Calibri" w:eastAsia="Times New Roman" w:hAnsi="Calibri" w:cs="Calibri"/>
          <w:sz w:val="22"/>
          <w:szCs w:val="22"/>
          <w:lang w:val="en-GB" w:eastAsia="en-GB"/>
        </w:rPr>
        <w:t>of States Parties</w:t>
      </w:r>
      <w:r w:rsidR="002F7876" w:rsidRPr="000D1AE0">
        <w:rPr>
          <w:rFonts w:ascii="Calibri" w:eastAsia="Times New Roman" w:hAnsi="Calibri" w:cs="Calibri"/>
          <w:sz w:val="22"/>
          <w:szCs w:val="22"/>
          <w:lang w:val="en-GB" w:eastAsia="en-GB"/>
        </w:rPr>
        <w:t xml:space="preserve"> </w:t>
      </w:r>
      <w:r w:rsidRPr="000D1AE0">
        <w:rPr>
          <w:rFonts w:ascii="Calibri" w:eastAsia="Times New Roman" w:hAnsi="Calibri" w:cs="Calibri"/>
          <w:sz w:val="22"/>
          <w:szCs w:val="22"/>
          <w:lang w:val="en-GB" w:eastAsia="en-GB"/>
        </w:rPr>
        <w:t>is a far cry from the</w:t>
      </w:r>
      <w:r w:rsidR="002F7876" w:rsidRPr="000D1AE0">
        <w:rPr>
          <w:rFonts w:ascii="Calibri" w:eastAsia="Times New Roman" w:hAnsi="Calibri" w:cs="Calibri"/>
          <w:sz w:val="22"/>
          <w:szCs w:val="22"/>
          <w:lang w:val="en-GB" w:eastAsia="en-GB"/>
        </w:rPr>
        <w:t xml:space="preserve"> </w:t>
      </w:r>
      <w:r w:rsidR="00614113">
        <w:rPr>
          <w:rFonts w:ascii="Calibri" w:eastAsia="Times New Roman" w:hAnsi="Calibri" w:cs="Calibri"/>
          <w:sz w:val="22"/>
          <w:szCs w:val="22"/>
          <w:lang w:val="en-GB" w:eastAsia="en-GB"/>
        </w:rPr>
        <w:t>‘</w:t>
      </w:r>
      <w:r w:rsidRPr="000D1AE0">
        <w:rPr>
          <w:rFonts w:ascii="Calibri" w:eastAsia="Times New Roman" w:hAnsi="Calibri" w:cs="Calibri"/>
          <w:sz w:val="22"/>
          <w:szCs w:val="22"/>
          <w:lang w:val="en-GB" w:eastAsia="en-GB"/>
        </w:rPr>
        <w:t>exceptional</w:t>
      </w:r>
      <w:r w:rsidR="00614113">
        <w:rPr>
          <w:rFonts w:ascii="Calibri" w:eastAsia="Times New Roman" w:hAnsi="Calibri" w:cs="Calibri"/>
          <w:sz w:val="22"/>
          <w:szCs w:val="22"/>
          <w:lang w:val="en-GB" w:eastAsia="en-GB"/>
        </w:rPr>
        <w:t xml:space="preserve">’ circumstance envisioned by Article </w:t>
      </w:r>
      <w:r w:rsidRPr="000D1AE0">
        <w:rPr>
          <w:rFonts w:ascii="Calibri" w:eastAsia="Times New Roman" w:hAnsi="Calibri" w:cs="Calibri"/>
          <w:sz w:val="22"/>
          <w:szCs w:val="22"/>
          <w:lang w:val="en-GB" w:eastAsia="en-GB"/>
        </w:rPr>
        <w:t xml:space="preserve"> 13.2 of the IHR.  </w:t>
      </w:r>
      <w:r w:rsidRPr="000D1AE0">
        <w:rPr>
          <w:rFonts w:ascii="Calibri" w:eastAsia="Times New Roman" w:hAnsi="Calibri" w:cs="Calibri"/>
          <w:sz w:val="22"/>
          <w:szCs w:val="22"/>
          <w:lang w:val="en-US" w:eastAsia="en-GB"/>
        </w:rPr>
        <w:t> </w:t>
      </w:r>
    </w:p>
    <w:p w14:paraId="6EAFF797" w14:textId="77777777" w:rsidR="00EE09E3" w:rsidRPr="00EE09E3" w:rsidRDefault="00EE09E3" w:rsidP="00463277">
      <w:pPr>
        <w:spacing w:line="360" w:lineRule="auto"/>
        <w:ind w:left="360"/>
        <w:jc w:val="both"/>
        <w:textAlignment w:val="baseline"/>
        <w:rPr>
          <w:rFonts w:ascii="Arial" w:eastAsia="Times New Roman" w:hAnsi="Arial" w:cs="Arial"/>
          <w:sz w:val="18"/>
          <w:szCs w:val="18"/>
          <w:lang w:val="en-US" w:eastAsia="en-GB"/>
        </w:rPr>
      </w:pPr>
      <w:r w:rsidRPr="00EE09E3">
        <w:rPr>
          <w:rFonts w:ascii="Calibri" w:eastAsia="Times New Roman" w:hAnsi="Calibri" w:cs="Calibri"/>
          <w:sz w:val="22"/>
          <w:szCs w:val="22"/>
          <w:lang w:val="en-US" w:eastAsia="en-GB"/>
        </w:rPr>
        <w:t> </w:t>
      </w:r>
    </w:p>
    <w:p w14:paraId="0B58F82D" w14:textId="67326993" w:rsidR="000D1AE0" w:rsidRPr="005454E8" w:rsidRDefault="00EE09E3" w:rsidP="006547DC">
      <w:pPr>
        <w:pStyle w:val="ListParagraph"/>
        <w:numPr>
          <w:ilvl w:val="0"/>
          <w:numId w:val="63"/>
        </w:numPr>
        <w:spacing w:line="360" w:lineRule="auto"/>
        <w:jc w:val="both"/>
        <w:textAlignment w:val="baseline"/>
        <w:rPr>
          <w:rFonts w:ascii="Calibri" w:eastAsia="Times New Roman" w:hAnsi="Calibri" w:cs="Calibri"/>
          <w:sz w:val="22"/>
          <w:szCs w:val="22"/>
          <w:lang w:val="en-GB" w:eastAsia="en-GB"/>
        </w:rPr>
      </w:pPr>
      <w:r w:rsidRPr="005454E8">
        <w:rPr>
          <w:rFonts w:ascii="Calibri" w:eastAsia="Times New Roman" w:hAnsi="Calibri" w:cs="Calibri"/>
          <w:sz w:val="22"/>
          <w:szCs w:val="22"/>
          <w:lang w:val="en-GB" w:eastAsia="en-GB"/>
        </w:rPr>
        <w:t>Even Article 43, the proclaimed </w:t>
      </w:r>
      <w:r w:rsidR="009D3318" w:rsidRPr="005454E8">
        <w:rPr>
          <w:rFonts w:ascii="Calibri" w:eastAsia="Times New Roman" w:hAnsi="Calibri" w:cs="Calibri"/>
          <w:sz w:val="22"/>
          <w:szCs w:val="22"/>
          <w:lang w:val="en-GB" w:eastAsia="en-GB"/>
        </w:rPr>
        <w:t>‘</w:t>
      </w:r>
      <w:r w:rsidRPr="005454E8">
        <w:rPr>
          <w:rFonts w:ascii="Calibri" w:eastAsia="Times New Roman" w:hAnsi="Calibri" w:cs="Calibri"/>
          <w:sz w:val="22"/>
          <w:szCs w:val="22"/>
          <w:lang w:val="en-GB" w:eastAsia="en-GB"/>
        </w:rPr>
        <w:t>cornerstone</w:t>
      </w:r>
      <w:r w:rsidR="009D3318" w:rsidRPr="005454E8">
        <w:rPr>
          <w:rFonts w:ascii="Calibri" w:eastAsia="Times New Roman" w:hAnsi="Calibri" w:cs="Calibri"/>
          <w:sz w:val="22"/>
          <w:szCs w:val="22"/>
          <w:lang w:val="en-GB" w:eastAsia="en-GB"/>
        </w:rPr>
        <w:t xml:space="preserve">’ </w:t>
      </w:r>
      <w:r w:rsidRPr="005454E8">
        <w:rPr>
          <w:rFonts w:ascii="Calibri" w:eastAsia="Times New Roman" w:hAnsi="Calibri" w:cs="Calibri"/>
          <w:sz w:val="22"/>
          <w:szCs w:val="22"/>
          <w:lang w:val="en-GB" w:eastAsia="en-GB"/>
        </w:rPr>
        <w:t xml:space="preserve">of the entire agreement, lacks a robust enforcement device. Article 43 authorises WHO to request that a State Party reconsider its implementation of an additional measure, but ultimately the State Party can impose measures that significantly interfere with international traffic and trade without consequence. Indeed, there are not even any formalities provided for an article 43 ’reconsideration’ that might propel a State Party to drop an additional measure, such as a requirement to provide written evidence of reconsideration or additional justification for the measure. That States Parties do not have to answer for their insistence on implementing disproportionate measures undermines the foundational </w:t>
      </w:r>
      <w:r w:rsidR="004309B9" w:rsidRPr="005454E8">
        <w:rPr>
          <w:rFonts w:ascii="Calibri" w:eastAsia="Times New Roman" w:hAnsi="Calibri" w:cs="Calibri"/>
          <w:sz w:val="22"/>
          <w:szCs w:val="22"/>
          <w:lang w:val="en-GB" w:eastAsia="en-GB"/>
        </w:rPr>
        <w:t>‘quid pro quo’</w:t>
      </w:r>
      <w:r w:rsidR="00DE74A7" w:rsidRPr="005454E8">
        <w:rPr>
          <w:rFonts w:ascii="Calibri" w:eastAsia="Times New Roman" w:hAnsi="Calibri" w:cs="Calibri"/>
          <w:sz w:val="22"/>
          <w:szCs w:val="22"/>
          <w:lang w:val="en-GB" w:eastAsia="en-GB"/>
        </w:rPr>
        <w:t xml:space="preserve"> </w:t>
      </w:r>
      <w:r w:rsidR="005454E8" w:rsidRPr="005454E8">
        <w:rPr>
          <w:rFonts w:ascii="Calibri" w:eastAsia="Times New Roman" w:hAnsi="Calibri" w:cs="Calibri"/>
          <w:sz w:val="22"/>
          <w:szCs w:val="22"/>
          <w:lang w:val="en-GB" w:eastAsia="en-GB"/>
        </w:rPr>
        <w:t>of the IHR.</w:t>
      </w:r>
      <w:r w:rsidR="00E14B22">
        <w:rPr>
          <w:rFonts w:ascii="Calibri" w:eastAsia="Times New Roman" w:hAnsi="Calibri" w:cs="Calibri"/>
          <w:sz w:val="22"/>
          <w:szCs w:val="22"/>
          <w:lang w:val="en-GB" w:eastAsia="en-GB"/>
        </w:rPr>
        <w:t xml:space="preserve"> </w:t>
      </w:r>
    </w:p>
    <w:p w14:paraId="5058FF05" w14:textId="77777777" w:rsidR="005454E8" w:rsidRPr="005454E8" w:rsidRDefault="005454E8" w:rsidP="005454E8">
      <w:pPr>
        <w:pStyle w:val="ListParagraph"/>
        <w:spacing w:line="360" w:lineRule="auto"/>
        <w:ind w:left="360"/>
        <w:jc w:val="both"/>
        <w:textAlignment w:val="baseline"/>
        <w:rPr>
          <w:rFonts w:ascii="Calibri" w:eastAsia="Times New Roman" w:hAnsi="Calibri" w:cs="Calibri"/>
          <w:sz w:val="22"/>
          <w:szCs w:val="22"/>
          <w:lang w:val="en-GB" w:eastAsia="en-GB"/>
        </w:rPr>
      </w:pPr>
    </w:p>
    <w:p w14:paraId="5B6D0121" w14:textId="254130B8" w:rsidR="00EE09E3" w:rsidRDefault="00EE09E3" w:rsidP="000D1AE0">
      <w:pPr>
        <w:pStyle w:val="ListParagraph"/>
        <w:numPr>
          <w:ilvl w:val="0"/>
          <w:numId w:val="63"/>
        </w:numPr>
        <w:spacing w:line="360" w:lineRule="auto"/>
        <w:jc w:val="both"/>
        <w:textAlignment w:val="baseline"/>
        <w:rPr>
          <w:rFonts w:ascii="Calibri" w:eastAsia="Times New Roman" w:hAnsi="Calibri" w:cs="Calibri"/>
          <w:sz w:val="22"/>
          <w:szCs w:val="22"/>
          <w:lang w:val="en-US" w:eastAsia="en-GB"/>
        </w:rPr>
      </w:pPr>
      <w:r w:rsidRPr="000D1AE0">
        <w:rPr>
          <w:rFonts w:ascii="Calibri" w:eastAsia="Times New Roman" w:hAnsi="Calibri" w:cs="Calibri"/>
          <w:sz w:val="22"/>
          <w:szCs w:val="22"/>
          <w:lang w:val="en-GB" w:eastAsia="en-GB"/>
        </w:rPr>
        <w:t>There have been numerous proposals for enforcement mechanisms from global health law scholars, WHO Review Committees and Independent Oversight and Advisory Committees alike. It has been suggested that core capacities might be taken into consideration in International Monetary Fund’s ‘country reports’</w:t>
      </w:r>
      <w:r w:rsidR="002B6F41">
        <w:rPr>
          <w:rFonts w:ascii="Calibri" w:eastAsia="Times New Roman" w:hAnsi="Calibri" w:cs="Calibri"/>
          <w:sz w:val="22"/>
          <w:szCs w:val="22"/>
          <w:lang w:val="en-GB" w:eastAsia="en-GB"/>
        </w:rPr>
        <w:t>,</w:t>
      </w:r>
      <w:r w:rsidR="00964468" w:rsidRPr="00964468">
        <w:rPr>
          <w:rStyle w:val="FootnoteReference"/>
          <w:lang w:val="en-GB"/>
        </w:rPr>
        <w:t xml:space="preserve"> </w:t>
      </w:r>
      <w:r w:rsidR="00964468" w:rsidRPr="4A5A26F0">
        <w:rPr>
          <w:rStyle w:val="FootnoteReference"/>
          <w:lang w:val="en-GB"/>
        </w:rPr>
        <w:footnoteReference w:id="20"/>
      </w:r>
      <w:r w:rsidR="00964468">
        <w:rPr>
          <w:lang w:val="en-GB"/>
        </w:rPr>
        <w:t xml:space="preserve"> </w:t>
      </w:r>
      <w:r w:rsidRPr="000D1AE0">
        <w:rPr>
          <w:rFonts w:ascii="Calibri" w:eastAsia="Times New Roman" w:hAnsi="Calibri" w:cs="Calibri"/>
          <w:sz w:val="22"/>
          <w:szCs w:val="22"/>
          <w:lang w:val="en-GB" w:eastAsia="en-GB"/>
        </w:rPr>
        <w:t xml:space="preserve">or that the availability of the World Bank’s Pandemic Emergency Facility should be associated with external/independent WHO assessments </w:t>
      </w:r>
      <w:r w:rsidRPr="000D1AE0">
        <w:rPr>
          <w:rFonts w:ascii="Calibri" w:eastAsia="Times New Roman" w:hAnsi="Calibri" w:cs="Calibri"/>
          <w:sz w:val="22"/>
          <w:szCs w:val="22"/>
          <w:lang w:val="en-GB" w:eastAsia="en-GB"/>
        </w:rPr>
        <w:lastRenderedPageBreak/>
        <w:t>of core capacities</w:t>
      </w:r>
      <w:r w:rsidR="00424D86">
        <w:rPr>
          <w:rFonts w:ascii="Calibri" w:eastAsia="Times New Roman" w:hAnsi="Calibri" w:cs="Calibri"/>
          <w:sz w:val="22"/>
          <w:szCs w:val="22"/>
          <w:lang w:val="en-GB" w:eastAsia="en-GB"/>
        </w:rPr>
        <w:t xml:space="preserve">. </w:t>
      </w:r>
      <w:r w:rsidR="00424D86" w:rsidRPr="4A5A26F0">
        <w:rPr>
          <w:rStyle w:val="FootnoteReference"/>
          <w:lang w:val="en-GB"/>
        </w:rPr>
        <w:footnoteReference w:id="21"/>
      </w:r>
      <w:r w:rsidRPr="000D1AE0">
        <w:rPr>
          <w:rFonts w:ascii="Calibri" w:eastAsia="Times New Roman" w:hAnsi="Calibri" w:cs="Calibri"/>
          <w:sz w:val="22"/>
          <w:szCs w:val="22"/>
          <w:lang w:val="en-GB" w:eastAsia="en-GB"/>
        </w:rPr>
        <w:t> Such measures would likely help to dismantle the culture of non-compliance with the IHR.</w:t>
      </w:r>
      <w:r w:rsidRPr="000D1AE0">
        <w:rPr>
          <w:rFonts w:ascii="Calibri" w:eastAsia="Times New Roman" w:hAnsi="Calibri" w:cs="Calibri"/>
          <w:sz w:val="22"/>
          <w:szCs w:val="22"/>
          <w:lang w:val="en-US" w:eastAsia="en-GB"/>
        </w:rPr>
        <w:t> </w:t>
      </w:r>
    </w:p>
    <w:p w14:paraId="66D08CE1" w14:textId="77777777" w:rsidR="004403C3" w:rsidRDefault="004403C3" w:rsidP="00424D86">
      <w:pPr>
        <w:spacing w:line="360" w:lineRule="auto"/>
        <w:jc w:val="both"/>
        <w:textAlignment w:val="baseline"/>
        <w:rPr>
          <w:rFonts w:ascii="Calibri" w:eastAsia="Times New Roman" w:hAnsi="Calibri" w:cs="Calibri"/>
          <w:sz w:val="22"/>
          <w:szCs w:val="22"/>
          <w:lang w:val="en-GB" w:eastAsia="en-GB"/>
        </w:rPr>
      </w:pPr>
    </w:p>
    <w:p w14:paraId="173DCDD8" w14:textId="51B3F446" w:rsidR="00EE09E3" w:rsidRPr="004403C3" w:rsidRDefault="00EE09E3" w:rsidP="004403C3">
      <w:pPr>
        <w:pStyle w:val="ListParagraph"/>
        <w:numPr>
          <w:ilvl w:val="0"/>
          <w:numId w:val="63"/>
        </w:numPr>
        <w:spacing w:line="360" w:lineRule="auto"/>
        <w:jc w:val="both"/>
        <w:textAlignment w:val="baseline"/>
        <w:rPr>
          <w:rFonts w:ascii="Calibri" w:eastAsia="Times New Roman" w:hAnsi="Calibri" w:cs="Calibri"/>
          <w:sz w:val="22"/>
          <w:szCs w:val="22"/>
          <w:lang w:val="en-US" w:eastAsia="en-GB"/>
        </w:rPr>
      </w:pPr>
      <w:r w:rsidRPr="004403C3">
        <w:rPr>
          <w:rFonts w:ascii="Calibri" w:eastAsia="Times New Roman" w:hAnsi="Calibri" w:cs="Calibri"/>
          <w:sz w:val="22"/>
          <w:szCs w:val="22"/>
          <w:lang w:val="en-GB" w:eastAsia="en-GB"/>
        </w:rPr>
        <w:t xml:space="preserve">However, to claim that the lack of sanctions makes the IHR framework unfit for purpose would be </w:t>
      </w:r>
      <w:r w:rsidR="00B0645C">
        <w:rPr>
          <w:rFonts w:ascii="Calibri" w:eastAsia="Times New Roman" w:hAnsi="Calibri" w:cs="Calibri"/>
          <w:sz w:val="22"/>
          <w:szCs w:val="22"/>
          <w:lang w:val="en-GB" w:eastAsia="en-GB"/>
        </w:rPr>
        <w:t>misguided</w:t>
      </w:r>
      <w:r w:rsidR="00984115">
        <w:rPr>
          <w:rFonts w:ascii="Calibri" w:eastAsia="Times New Roman" w:hAnsi="Calibri" w:cs="Calibri"/>
          <w:sz w:val="22"/>
          <w:szCs w:val="22"/>
          <w:lang w:val="en-GB" w:eastAsia="en-GB"/>
        </w:rPr>
        <w:t xml:space="preserve">. </w:t>
      </w:r>
      <w:r w:rsidRPr="004403C3">
        <w:rPr>
          <w:rFonts w:ascii="Calibri" w:eastAsia="Times New Roman" w:hAnsi="Calibri" w:cs="Calibri"/>
          <w:sz w:val="22"/>
          <w:szCs w:val="22"/>
          <w:lang w:val="en-GB" w:eastAsia="en-GB"/>
        </w:rPr>
        <w:t xml:space="preserve">Indeed, if the absence of sanctions was enough to dismiss a legal instrument as unfit for purpose, </w:t>
      </w:r>
      <w:r w:rsidR="004F2EAB">
        <w:rPr>
          <w:rFonts w:ascii="Calibri" w:eastAsia="Times New Roman" w:hAnsi="Calibri" w:cs="Calibri"/>
          <w:sz w:val="22"/>
          <w:szCs w:val="22"/>
          <w:lang w:val="en-GB" w:eastAsia="en-GB"/>
        </w:rPr>
        <w:t xml:space="preserve">much of </w:t>
      </w:r>
      <w:r w:rsidRPr="004403C3">
        <w:rPr>
          <w:rFonts w:ascii="Calibri" w:eastAsia="Times New Roman" w:hAnsi="Calibri" w:cs="Calibri"/>
          <w:sz w:val="22"/>
          <w:szCs w:val="22"/>
          <w:lang w:val="en-GB" w:eastAsia="en-GB"/>
        </w:rPr>
        <w:t>the existing body of international law would also be branded </w:t>
      </w:r>
      <w:r w:rsidR="00574444">
        <w:rPr>
          <w:rFonts w:ascii="Calibri" w:eastAsia="Times New Roman" w:hAnsi="Calibri" w:cs="Calibri"/>
          <w:sz w:val="22"/>
          <w:szCs w:val="22"/>
          <w:lang w:val="en-GB" w:eastAsia="en-GB"/>
        </w:rPr>
        <w:t>unfit</w:t>
      </w:r>
      <w:r w:rsidRPr="004403C3">
        <w:rPr>
          <w:rFonts w:ascii="Calibri" w:eastAsia="Times New Roman" w:hAnsi="Calibri" w:cs="Calibri"/>
          <w:sz w:val="22"/>
          <w:szCs w:val="22"/>
          <w:lang w:val="en-GB" w:eastAsia="en-GB"/>
        </w:rPr>
        <w:t>. </w:t>
      </w:r>
      <w:r w:rsidR="004F2EAB">
        <w:rPr>
          <w:rFonts w:ascii="Calibri" w:eastAsia="Times New Roman" w:hAnsi="Calibri" w:cs="Calibri"/>
          <w:sz w:val="22"/>
          <w:szCs w:val="22"/>
          <w:lang w:val="en-GB" w:eastAsia="en-GB"/>
        </w:rPr>
        <w:t>The lack</w:t>
      </w:r>
      <w:r w:rsidRPr="004403C3">
        <w:rPr>
          <w:rFonts w:ascii="Calibri" w:eastAsia="Times New Roman" w:hAnsi="Calibri" w:cs="Calibri"/>
          <w:sz w:val="22"/>
          <w:szCs w:val="22"/>
          <w:lang w:val="en-GB" w:eastAsia="en-GB"/>
        </w:rPr>
        <w:t> of robust</w:t>
      </w:r>
      <w:r w:rsidR="00C92A91">
        <w:rPr>
          <w:rFonts w:ascii="Calibri" w:eastAsia="Times New Roman" w:hAnsi="Calibri" w:cs="Calibri"/>
          <w:sz w:val="22"/>
          <w:szCs w:val="22"/>
          <w:lang w:val="en-GB" w:eastAsia="en-GB"/>
        </w:rPr>
        <w:t xml:space="preserve"> </w:t>
      </w:r>
      <w:r w:rsidRPr="004403C3">
        <w:rPr>
          <w:rFonts w:ascii="Calibri" w:eastAsia="Times New Roman" w:hAnsi="Calibri" w:cs="Calibri"/>
          <w:sz w:val="22"/>
          <w:szCs w:val="22"/>
          <w:lang w:val="en-GB" w:eastAsia="en-GB"/>
        </w:rPr>
        <w:t>enforcement</w:t>
      </w:r>
      <w:r w:rsidR="00C92A91">
        <w:rPr>
          <w:rFonts w:ascii="Calibri" w:eastAsia="Times New Roman" w:hAnsi="Calibri" w:cs="Calibri"/>
          <w:sz w:val="22"/>
          <w:szCs w:val="22"/>
          <w:lang w:val="en-GB" w:eastAsia="en-GB"/>
        </w:rPr>
        <w:t xml:space="preserve"> </w:t>
      </w:r>
      <w:r w:rsidRPr="004403C3">
        <w:rPr>
          <w:rFonts w:ascii="Calibri" w:eastAsia="Times New Roman" w:hAnsi="Calibri" w:cs="Calibri"/>
          <w:sz w:val="22"/>
          <w:szCs w:val="22"/>
          <w:lang w:val="en-GB" w:eastAsia="en-GB"/>
        </w:rPr>
        <w:t>mechanisms is a </w:t>
      </w:r>
      <w:r w:rsidR="00206A03">
        <w:rPr>
          <w:rFonts w:ascii="Calibri" w:eastAsia="Times New Roman" w:hAnsi="Calibri" w:cs="Calibri"/>
          <w:sz w:val="22"/>
          <w:szCs w:val="22"/>
          <w:lang w:val="en-GB" w:eastAsia="en-GB"/>
        </w:rPr>
        <w:t>frequent</w:t>
      </w:r>
      <w:r w:rsidR="004F2EAB">
        <w:rPr>
          <w:rFonts w:ascii="Calibri" w:eastAsia="Times New Roman" w:hAnsi="Calibri" w:cs="Calibri"/>
          <w:sz w:val="22"/>
          <w:szCs w:val="22"/>
          <w:lang w:val="en-GB" w:eastAsia="en-GB"/>
        </w:rPr>
        <w:t xml:space="preserve"> </w:t>
      </w:r>
      <w:r w:rsidRPr="004403C3">
        <w:rPr>
          <w:rFonts w:ascii="Calibri" w:eastAsia="Times New Roman" w:hAnsi="Calibri" w:cs="Calibri"/>
          <w:sz w:val="22"/>
          <w:szCs w:val="22"/>
          <w:lang w:val="en-GB" w:eastAsia="en-GB"/>
        </w:rPr>
        <w:t>impediment</w:t>
      </w:r>
      <w:r w:rsidR="00206A03">
        <w:rPr>
          <w:rFonts w:ascii="Calibri" w:eastAsia="Times New Roman" w:hAnsi="Calibri" w:cs="Calibri"/>
          <w:sz w:val="22"/>
          <w:szCs w:val="22"/>
          <w:lang w:val="en-GB" w:eastAsia="en-GB"/>
        </w:rPr>
        <w:t xml:space="preserve"> to the implementation of </w:t>
      </w:r>
      <w:r w:rsidRPr="004403C3">
        <w:rPr>
          <w:rFonts w:ascii="Calibri" w:eastAsia="Times New Roman" w:hAnsi="Calibri" w:cs="Calibri"/>
          <w:sz w:val="22"/>
          <w:szCs w:val="22"/>
          <w:lang w:val="en-GB" w:eastAsia="en-GB"/>
        </w:rPr>
        <w:t>international law</w:t>
      </w:r>
      <w:r w:rsidR="0067296D">
        <w:rPr>
          <w:rFonts w:ascii="Calibri" w:eastAsia="Times New Roman" w:hAnsi="Calibri" w:cs="Calibri"/>
          <w:sz w:val="22"/>
          <w:szCs w:val="22"/>
          <w:lang w:val="en-GB" w:eastAsia="en-GB"/>
        </w:rPr>
        <w:t>.</w:t>
      </w:r>
      <w:r w:rsidR="0067296D" w:rsidRPr="0067296D">
        <w:rPr>
          <w:rStyle w:val="FootnoteReference"/>
          <w:lang w:val="en-GB"/>
        </w:rPr>
        <w:t xml:space="preserve"> </w:t>
      </w:r>
      <w:r w:rsidR="0067296D" w:rsidRPr="4A5A26F0">
        <w:rPr>
          <w:rStyle w:val="FootnoteReference"/>
          <w:lang w:val="en-GB"/>
        </w:rPr>
        <w:footnoteReference w:id="22"/>
      </w:r>
      <w:r w:rsidR="0067296D">
        <w:rPr>
          <w:rFonts w:ascii="Calibri" w:eastAsia="Times New Roman" w:hAnsi="Calibri" w:cs="Calibri"/>
          <w:sz w:val="22"/>
          <w:szCs w:val="22"/>
          <w:lang w:val="en-GB" w:eastAsia="en-GB"/>
        </w:rPr>
        <w:t xml:space="preserve"> </w:t>
      </w:r>
      <w:r w:rsidR="00E0651D">
        <w:rPr>
          <w:rFonts w:ascii="Calibri" w:eastAsia="Times New Roman" w:hAnsi="Calibri" w:cs="Calibri"/>
          <w:sz w:val="22"/>
          <w:szCs w:val="22"/>
          <w:lang w:val="en-GB" w:eastAsia="en-GB"/>
        </w:rPr>
        <w:t xml:space="preserve">The lack of enforcement devices does not mean that international agreements have purely symbolic value. </w:t>
      </w:r>
      <w:r w:rsidRPr="004403C3">
        <w:rPr>
          <w:rFonts w:ascii="Calibri" w:eastAsia="Times New Roman" w:hAnsi="Calibri" w:cs="Calibri"/>
          <w:sz w:val="22"/>
          <w:szCs w:val="22"/>
          <w:lang w:val="en-GB" w:eastAsia="en-GB"/>
        </w:rPr>
        <w:t>International law does not obtain its ’</w:t>
      </w:r>
      <w:proofErr w:type="spellStart"/>
      <w:r w:rsidRPr="004403C3">
        <w:rPr>
          <w:rFonts w:ascii="Calibri" w:eastAsia="Times New Roman" w:hAnsi="Calibri" w:cs="Calibri"/>
          <w:sz w:val="22"/>
          <w:szCs w:val="22"/>
          <w:lang w:val="en-GB" w:eastAsia="en-GB"/>
        </w:rPr>
        <w:t>bindingness</w:t>
      </w:r>
      <w:proofErr w:type="spellEnd"/>
      <w:r w:rsidRPr="004403C3">
        <w:rPr>
          <w:rFonts w:ascii="Calibri" w:eastAsia="Times New Roman" w:hAnsi="Calibri" w:cs="Calibri"/>
          <w:sz w:val="22"/>
          <w:szCs w:val="22"/>
          <w:lang w:val="en-GB" w:eastAsia="en-GB"/>
        </w:rPr>
        <w:t>’ from the drafting of an impenetrable web of enforcement mechanisms dragging reluctant nation states into compliance. The ‘</w:t>
      </w:r>
      <w:proofErr w:type="spellStart"/>
      <w:r w:rsidRPr="004403C3">
        <w:rPr>
          <w:rFonts w:ascii="Calibri" w:eastAsia="Times New Roman" w:hAnsi="Calibri" w:cs="Calibri"/>
          <w:sz w:val="22"/>
          <w:szCs w:val="22"/>
          <w:lang w:val="en-GB" w:eastAsia="en-GB"/>
        </w:rPr>
        <w:t>bindingness</w:t>
      </w:r>
      <w:proofErr w:type="spellEnd"/>
      <w:r w:rsidRPr="004403C3">
        <w:rPr>
          <w:rFonts w:ascii="Calibri" w:eastAsia="Times New Roman" w:hAnsi="Calibri" w:cs="Calibri"/>
          <w:sz w:val="22"/>
          <w:szCs w:val="22"/>
          <w:lang w:val="en-GB" w:eastAsia="en-GB"/>
        </w:rPr>
        <w:t>’ of these agreements comes from a shared understanding of a formal legal agreement as a credible commitment.</w:t>
      </w:r>
      <w:r w:rsidR="0026015A" w:rsidRPr="0026015A">
        <w:rPr>
          <w:rStyle w:val="FootnoteReference"/>
          <w:lang w:val="en-GB"/>
        </w:rPr>
        <w:t xml:space="preserve"> </w:t>
      </w:r>
      <w:r w:rsidR="0026015A" w:rsidRPr="4A5A26F0">
        <w:rPr>
          <w:rStyle w:val="FootnoteReference"/>
          <w:lang w:val="en-GB"/>
        </w:rPr>
        <w:footnoteReference w:id="23"/>
      </w:r>
      <w:r w:rsidR="0026015A">
        <w:rPr>
          <w:rFonts w:ascii="Calibri" w:eastAsia="Times New Roman" w:hAnsi="Calibri" w:cs="Calibri"/>
          <w:sz w:val="22"/>
          <w:szCs w:val="22"/>
          <w:lang w:val="en-GB" w:eastAsia="en-GB"/>
        </w:rPr>
        <w:t xml:space="preserve"> </w:t>
      </w:r>
      <w:r w:rsidR="004A7DD4">
        <w:rPr>
          <w:rFonts w:ascii="Calibri" w:eastAsia="Times New Roman" w:hAnsi="Calibri" w:cs="Calibri"/>
          <w:sz w:val="22"/>
          <w:szCs w:val="22"/>
          <w:lang w:val="en-GB" w:eastAsia="en-GB"/>
        </w:rPr>
        <w:t xml:space="preserve">The collective agreement to honour </w:t>
      </w:r>
      <w:r w:rsidR="00493637">
        <w:rPr>
          <w:rFonts w:ascii="Calibri" w:eastAsia="Times New Roman" w:hAnsi="Calibri" w:cs="Calibri"/>
          <w:sz w:val="22"/>
          <w:szCs w:val="22"/>
          <w:lang w:val="en-GB" w:eastAsia="en-GB"/>
        </w:rPr>
        <w:t xml:space="preserve">international legal obligations, set out in </w:t>
      </w:r>
      <w:r w:rsidR="006B2EBF">
        <w:rPr>
          <w:rFonts w:ascii="Calibri" w:eastAsia="Times New Roman" w:hAnsi="Calibri" w:cs="Calibri"/>
          <w:sz w:val="22"/>
          <w:szCs w:val="22"/>
          <w:lang w:val="en-GB" w:eastAsia="en-GB"/>
        </w:rPr>
        <w:t>Article 26 of the Vienna Convention on the Law of Treaties 1969,</w:t>
      </w:r>
      <w:r w:rsidR="008E5DF1">
        <w:rPr>
          <w:rFonts w:ascii="Calibri" w:eastAsia="Times New Roman" w:hAnsi="Calibri" w:cs="Calibri"/>
          <w:sz w:val="22"/>
          <w:szCs w:val="22"/>
          <w:lang w:val="en-GB" w:eastAsia="en-GB"/>
        </w:rPr>
        <w:t xml:space="preserve"> means that the</w:t>
      </w:r>
      <w:r w:rsidRPr="004403C3">
        <w:rPr>
          <w:rFonts w:ascii="Calibri" w:eastAsia="Times New Roman" w:hAnsi="Calibri" w:cs="Calibri"/>
          <w:sz w:val="22"/>
          <w:szCs w:val="22"/>
          <w:lang w:val="en-GB" w:eastAsia="en-GB"/>
        </w:rPr>
        <w:t> </w:t>
      </w:r>
      <w:r w:rsidR="008E5DF1">
        <w:rPr>
          <w:rFonts w:ascii="Calibri" w:eastAsia="Times New Roman" w:hAnsi="Calibri" w:cs="Calibri"/>
          <w:sz w:val="22"/>
          <w:szCs w:val="22"/>
          <w:lang w:val="en-GB" w:eastAsia="en-GB"/>
        </w:rPr>
        <w:t>v</w:t>
      </w:r>
      <w:r w:rsidRPr="004403C3">
        <w:rPr>
          <w:rFonts w:ascii="Calibri" w:eastAsia="Times New Roman" w:hAnsi="Calibri" w:cs="Calibri"/>
          <w:sz w:val="22"/>
          <w:szCs w:val="22"/>
          <w:lang w:val="en-GB" w:eastAsia="en-GB"/>
        </w:rPr>
        <w:t>iolation of international law carries reputational costs. The cost is significant for even the most brazen of governments. International law is the way in which inter-state relations are defined and</w:t>
      </w:r>
      <w:r w:rsidR="006602F3">
        <w:rPr>
          <w:rFonts w:ascii="Calibri" w:eastAsia="Times New Roman" w:hAnsi="Calibri" w:cs="Calibri"/>
          <w:sz w:val="22"/>
          <w:szCs w:val="22"/>
          <w:lang w:val="en-GB" w:eastAsia="en-GB"/>
        </w:rPr>
        <w:t xml:space="preserve"> </w:t>
      </w:r>
      <w:r w:rsidRPr="004403C3">
        <w:rPr>
          <w:rFonts w:ascii="Calibri" w:eastAsia="Times New Roman" w:hAnsi="Calibri" w:cs="Calibri"/>
          <w:sz w:val="22"/>
          <w:szCs w:val="22"/>
          <w:lang w:val="en-GB" w:eastAsia="en-GB"/>
        </w:rPr>
        <w:t>regulated</w:t>
      </w:r>
      <w:r w:rsidR="0002486D">
        <w:rPr>
          <w:rFonts w:ascii="Calibri" w:eastAsia="Times New Roman" w:hAnsi="Calibri" w:cs="Calibri"/>
          <w:sz w:val="22"/>
          <w:szCs w:val="22"/>
          <w:lang w:val="en-GB" w:eastAsia="en-GB"/>
        </w:rPr>
        <w:t>.</w:t>
      </w:r>
      <w:r w:rsidRPr="004403C3">
        <w:rPr>
          <w:rFonts w:ascii="Calibri" w:eastAsia="Times New Roman" w:hAnsi="Calibri" w:cs="Calibri"/>
          <w:sz w:val="22"/>
          <w:szCs w:val="22"/>
          <w:lang w:val="en-GB" w:eastAsia="en-GB"/>
        </w:rPr>
        <w:t xml:space="preserve"> </w:t>
      </w:r>
      <w:r w:rsidR="0002486D">
        <w:rPr>
          <w:rFonts w:ascii="Calibri" w:eastAsia="Times New Roman" w:hAnsi="Calibri" w:cs="Calibri"/>
          <w:sz w:val="22"/>
          <w:szCs w:val="22"/>
          <w:lang w:val="en-GB" w:eastAsia="en-GB"/>
        </w:rPr>
        <w:t>A</w:t>
      </w:r>
      <w:r w:rsidRPr="004403C3">
        <w:rPr>
          <w:rFonts w:ascii="Calibri" w:eastAsia="Times New Roman" w:hAnsi="Calibri" w:cs="Calibri"/>
          <w:sz w:val="22"/>
          <w:szCs w:val="22"/>
          <w:lang w:val="en-GB" w:eastAsia="en-GB"/>
        </w:rPr>
        <w:t xml:space="preserve"> state that is seen to breach international law will </w:t>
      </w:r>
      <w:r w:rsidR="0002486D">
        <w:rPr>
          <w:rFonts w:ascii="Calibri" w:eastAsia="Times New Roman" w:hAnsi="Calibri" w:cs="Calibri"/>
          <w:sz w:val="22"/>
          <w:szCs w:val="22"/>
          <w:lang w:val="en-GB" w:eastAsia="en-GB"/>
        </w:rPr>
        <w:t xml:space="preserve">therefore </w:t>
      </w:r>
      <w:r w:rsidRPr="004403C3">
        <w:rPr>
          <w:rFonts w:ascii="Calibri" w:eastAsia="Times New Roman" w:hAnsi="Calibri" w:cs="Calibri"/>
          <w:sz w:val="22"/>
          <w:szCs w:val="22"/>
          <w:lang w:val="en-GB" w:eastAsia="en-GB"/>
        </w:rPr>
        <w:t>find it difficult to build on inter-state relations or indeed to criticise others for their non-compliance with international law.</w:t>
      </w:r>
    </w:p>
    <w:p w14:paraId="024AC5AC" w14:textId="76C4F506" w:rsidR="00EE09E3" w:rsidRPr="00EE09E3" w:rsidRDefault="00EE09E3" w:rsidP="00463277">
      <w:pPr>
        <w:spacing w:line="360" w:lineRule="auto"/>
        <w:ind w:left="360" w:hanging="360"/>
        <w:jc w:val="both"/>
        <w:textAlignment w:val="baseline"/>
        <w:rPr>
          <w:rFonts w:ascii="Arial" w:eastAsia="Times New Roman" w:hAnsi="Arial" w:cs="Arial"/>
          <w:sz w:val="18"/>
          <w:szCs w:val="18"/>
          <w:lang w:val="en-US" w:eastAsia="en-GB"/>
        </w:rPr>
      </w:pPr>
    </w:p>
    <w:p w14:paraId="55A9634B" w14:textId="60B14CEE" w:rsidR="00046455" w:rsidRPr="004403C3" w:rsidRDefault="00250A62" w:rsidP="004403C3">
      <w:pPr>
        <w:pStyle w:val="ListParagraph"/>
        <w:numPr>
          <w:ilvl w:val="0"/>
          <w:numId w:val="63"/>
        </w:numPr>
        <w:spacing w:line="360" w:lineRule="auto"/>
        <w:jc w:val="both"/>
        <w:textAlignment w:val="baseline"/>
        <w:rPr>
          <w:rFonts w:ascii="Calibri" w:eastAsia="Times New Roman" w:hAnsi="Calibri" w:cs="Calibri"/>
          <w:sz w:val="22"/>
          <w:szCs w:val="22"/>
          <w:lang w:val="en-US" w:eastAsia="en-GB"/>
        </w:rPr>
      </w:pPr>
      <w:r w:rsidRPr="004403C3">
        <w:rPr>
          <w:rFonts w:ascii="Calibri" w:eastAsia="Times New Roman" w:hAnsi="Calibri" w:cs="Calibri"/>
          <w:sz w:val="22"/>
          <w:szCs w:val="22"/>
          <w:lang w:val="en-GB" w:eastAsia="en-GB"/>
        </w:rPr>
        <w:t>To f</w:t>
      </w:r>
      <w:r w:rsidR="006C2271" w:rsidRPr="004403C3">
        <w:rPr>
          <w:rFonts w:ascii="Calibri" w:eastAsia="Times New Roman" w:hAnsi="Calibri" w:cs="Calibri"/>
          <w:sz w:val="22"/>
          <w:szCs w:val="22"/>
          <w:lang w:val="en-GB" w:eastAsia="en-GB"/>
        </w:rPr>
        <w:t xml:space="preserve">rame ineffectiveness in responses to PHEICs as </w:t>
      </w:r>
      <w:r w:rsidR="005B4ACC" w:rsidRPr="004403C3">
        <w:rPr>
          <w:rFonts w:ascii="Calibri" w:eastAsia="Times New Roman" w:hAnsi="Calibri" w:cs="Calibri"/>
          <w:sz w:val="22"/>
          <w:szCs w:val="22"/>
          <w:lang w:val="en-GB" w:eastAsia="en-GB"/>
        </w:rPr>
        <w:t>caused b</w:t>
      </w:r>
      <w:r w:rsidR="00397326" w:rsidRPr="004403C3">
        <w:rPr>
          <w:rFonts w:ascii="Calibri" w:eastAsia="Times New Roman" w:hAnsi="Calibri" w:cs="Calibri"/>
          <w:sz w:val="22"/>
          <w:szCs w:val="22"/>
          <w:lang w:val="en-GB" w:eastAsia="en-GB"/>
        </w:rPr>
        <w:t xml:space="preserve">y the lack of IHR enforcement mechanisms is to overlook the reason for such a conspicuous </w:t>
      </w:r>
      <w:r w:rsidR="005C2E79" w:rsidRPr="004403C3">
        <w:rPr>
          <w:rFonts w:ascii="Calibri" w:eastAsia="Times New Roman" w:hAnsi="Calibri" w:cs="Calibri"/>
          <w:sz w:val="22"/>
          <w:szCs w:val="22"/>
          <w:lang w:val="en-GB" w:eastAsia="en-GB"/>
        </w:rPr>
        <w:t xml:space="preserve">omission: states were unwilling to agree to </w:t>
      </w:r>
      <w:r w:rsidR="005C2E79" w:rsidRPr="00D27589">
        <w:rPr>
          <w:rFonts w:ascii="Calibri" w:eastAsia="Times New Roman" w:hAnsi="Calibri" w:cs="Calibri"/>
          <w:sz w:val="22"/>
          <w:szCs w:val="22"/>
          <w:lang w:val="en-GB" w:eastAsia="en-GB"/>
        </w:rPr>
        <w:t xml:space="preserve">a </w:t>
      </w:r>
      <w:r w:rsidR="006C62B4" w:rsidRPr="00D27589">
        <w:rPr>
          <w:rFonts w:ascii="Calibri" w:eastAsia="Times New Roman" w:hAnsi="Calibri" w:cs="Calibri"/>
          <w:sz w:val="22"/>
          <w:szCs w:val="22"/>
          <w:lang w:val="en-GB" w:eastAsia="en-GB"/>
        </w:rPr>
        <w:t>higher level</w:t>
      </w:r>
      <w:r w:rsidR="006C62B4" w:rsidRPr="004403C3">
        <w:rPr>
          <w:rFonts w:ascii="Calibri" w:eastAsia="Times New Roman" w:hAnsi="Calibri" w:cs="Calibri"/>
          <w:sz w:val="22"/>
          <w:szCs w:val="22"/>
          <w:lang w:val="en-GB" w:eastAsia="en-GB"/>
        </w:rPr>
        <w:t xml:space="preserve"> of commitment. </w:t>
      </w:r>
      <w:r w:rsidR="00280C7A" w:rsidRPr="004403C3">
        <w:rPr>
          <w:rFonts w:ascii="Calibri" w:eastAsia="Times New Roman" w:hAnsi="Calibri" w:cs="Calibri"/>
          <w:sz w:val="22"/>
          <w:szCs w:val="22"/>
          <w:lang w:val="en-GB" w:eastAsia="en-GB"/>
        </w:rPr>
        <w:t xml:space="preserve">A provision to enforce Article 43 by way of compulsory arbitration of disputes over additional measures was envisioned in the 1998 IHR </w:t>
      </w:r>
      <w:proofErr w:type="gramStart"/>
      <w:r w:rsidR="00280C7A" w:rsidRPr="004403C3">
        <w:rPr>
          <w:rFonts w:ascii="Calibri" w:eastAsia="Times New Roman" w:hAnsi="Calibri" w:cs="Calibri"/>
          <w:sz w:val="22"/>
          <w:szCs w:val="22"/>
          <w:lang w:val="en-GB" w:eastAsia="en-GB"/>
        </w:rPr>
        <w:t>Draft, but</w:t>
      </w:r>
      <w:proofErr w:type="gramEnd"/>
      <w:r w:rsidR="00280C7A" w:rsidRPr="004403C3">
        <w:rPr>
          <w:rFonts w:ascii="Calibri" w:eastAsia="Times New Roman" w:hAnsi="Calibri" w:cs="Calibri"/>
          <w:sz w:val="22"/>
          <w:szCs w:val="22"/>
          <w:lang w:val="en-GB" w:eastAsia="en-GB"/>
        </w:rPr>
        <w:t xml:space="preserve"> was </w:t>
      </w:r>
      <w:r w:rsidR="00D27589">
        <w:rPr>
          <w:rFonts w:ascii="Calibri" w:eastAsia="Times New Roman" w:hAnsi="Calibri" w:cs="Calibri"/>
          <w:sz w:val="22"/>
          <w:szCs w:val="22"/>
          <w:lang w:val="en-GB" w:eastAsia="en-GB"/>
        </w:rPr>
        <w:t>later</w:t>
      </w:r>
      <w:r w:rsidR="00280C7A" w:rsidRPr="004403C3">
        <w:rPr>
          <w:rFonts w:ascii="Calibri" w:eastAsia="Times New Roman" w:hAnsi="Calibri" w:cs="Calibri"/>
          <w:sz w:val="22"/>
          <w:szCs w:val="22"/>
          <w:lang w:val="en-GB" w:eastAsia="en-GB"/>
        </w:rPr>
        <w:t xml:space="preserve"> abandoned.</w:t>
      </w:r>
      <w:r w:rsidR="00280C7A" w:rsidRPr="004403C3">
        <w:rPr>
          <w:rFonts w:ascii="Calibri" w:eastAsia="Times New Roman" w:hAnsi="Calibri" w:cs="Calibri"/>
          <w:sz w:val="17"/>
          <w:szCs w:val="17"/>
          <w:vertAlign w:val="superscript"/>
          <w:lang w:val="en-GB" w:eastAsia="en-GB"/>
        </w:rPr>
        <w:t>22</w:t>
      </w:r>
      <w:r w:rsidR="006F4CE9" w:rsidRPr="004403C3">
        <w:rPr>
          <w:rFonts w:ascii="Calibri" w:eastAsia="Times New Roman" w:hAnsi="Calibri" w:cs="Calibri"/>
          <w:sz w:val="22"/>
          <w:szCs w:val="22"/>
          <w:lang w:val="en-GB" w:eastAsia="en-GB"/>
        </w:rPr>
        <w:t xml:space="preserve"> </w:t>
      </w:r>
      <w:r w:rsidR="00EE09E3" w:rsidRPr="004403C3">
        <w:rPr>
          <w:rFonts w:ascii="Calibri" w:eastAsia="Times New Roman" w:hAnsi="Calibri" w:cs="Calibri"/>
          <w:sz w:val="22"/>
          <w:szCs w:val="22"/>
          <w:lang w:val="en-GB" w:eastAsia="en-GB"/>
        </w:rPr>
        <w:t xml:space="preserve">States Parties were willing to commit to global cooperation, but only insofar as it remained compatible with </w:t>
      </w:r>
      <w:r w:rsidR="006F4CE9" w:rsidRPr="004403C3">
        <w:rPr>
          <w:rFonts w:ascii="Calibri" w:eastAsia="Times New Roman" w:hAnsi="Calibri" w:cs="Calibri"/>
          <w:sz w:val="22"/>
          <w:szCs w:val="22"/>
          <w:lang w:val="en-GB" w:eastAsia="en-GB"/>
        </w:rPr>
        <w:t xml:space="preserve">national </w:t>
      </w:r>
      <w:r w:rsidR="00EE09E3" w:rsidRPr="004403C3">
        <w:rPr>
          <w:rFonts w:ascii="Calibri" w:eastAsia="Times New Roman" w:hAnsi="Calibri" w:cs="Calibri"/>
          <w:sz w:val="22"/>
          <w:szCs w:val="22"/>
          <w:lang w:val="en-GB" w:eastAsia="en-GB"/>
        </w:rPr>
        <w:t>self-interest.</w:t>
      </w:r>
      <w:r w:rsidR="00046455" w:rsidRPr="004403C3">
        <w:rPr>
          <w:rFonts w:ascii="Calibri" w:eastAsia="Times New Roman" w:hAnsi="Calibri" w:cs="Calibri"/>
          <w:sz w:val="22"/>
          <w:szCs w:val="22"/>
          <w:lang w:val="en-GB" w:eastAsia="en-GB"/>
        </w:rPr>
        <w:t xml:space="preserve"> All international legal agreements limit signatory states</w:t>
      </w:r>
      <w:r w:rsidR="008B48CA">
        <w:rPr>
          <w:rFonts w:ascii="Calibri" w:eastAsia="Times New Roman" w:hAnsi="Calibri" w:cs="Calibri"/>
          <w:sz w:val="22"/>
          <w:szCs w:val="22"/>
          <w:lang w:val="en-GB" w:eastAsia="en-GB"/>
        </w:rPr>
        <w:t>’</w:t>
      </w:r>
      <w:r w:rsidR="00046455" w:rsidRPr="004403C3">
        <w:rPr>
          <w:rFonts w:ascii="Calibri" w:eastAsia="Times New Roman" w:hAnsi="Calibri" w:cs="Calibri"/>
          <w:sz w:val="22"/>
          <w:szCs w:val="22"/>
          <w:lang w:val="en-GB" w:eastAsia="en-GB"/>
        </w:rPr>
        <w:t xml:space="preserve"> discretion and therefore require </w:t>
      </w:r>
      <w:r w:rsidR="001E39B0">
        <w:rPr>
          <w:rFonts w:ascii="Calibri" w:eastAsia="Times New Roman" w:hAnsi="Calibri" w:cs="Calibri"/>
          <w:sz w:val="22"/>
          <w:szCs w:val="22"/>
          <w:lang w:val="en-GB" w:eastAsia="en-GB"/>
        </w:rPr>
        <w:t>the</w:t>
      </w:r>
      <w:r w:rsidR="00046455" w:rsidRPr="004403C3">
        <w:rPr>
          <w:rFonts w:ascii="Calibri" w:eastAsia="Times New Roman" w:hAnsi="Calibri" w:cs="Calibri"/>
          <w:sz w:val="22"/>
          <w:szCs w:val="22"/>
          <w:lang w:val="en-GB" w:eastAsia="en-GB"/>
        </w:rPr>
        <w:t> surrender</w:t>
      </w:r>
      <w:r w:rsidR="0019387B">
        <w:rPr>
          <w:rFonts w:ascii="Calibri" w:eastAsia="Times New Roman" w:hAnsi="Calibri" w:cs="Calibri"/>
          <w:sz w:val="22"/>
          <w:szCs w:val="22"/>
          <w:lang w:val="en-GB" w:eastAsia="en-GB"/>
        </w:rPr>
        <w:t xml:space="preserve"> of</w:t>
      </w:r>
      <w:r w:rsidR="00046455" w:rsidRPr="004403C3">
        <w:rPr>
          <w:rFonts w:ascii="Calibri" w:eastAsia="Times New Roman" w:hAnsi="Calibri" w:cs="Calibri"/>
          <w:sz w:val="22"/>
          <w:szCs w:val="22"/>
          <w:lang w:val="en-GB" w:eastAsia="en-GB"/>
        </w:rPr>
        <w:t> some degree of their national sovereignty.</w:t>
      </w:r>
      <w:r w:rsidR="00046455" w:rsidRPr="004403C3">
        <w:rPr>
          <w:rFonts w:ascii="Calibri" w:eastAsia="Times New Roman" w:hAnsi="Calibri" w:cs="Calibri"/>
          <w:sz w:val="17"/>
          <w:szCs w:val="17"/>
          <w:vertAlign w:val="superscript"/>
          <w:lang w:val="en-GB" w:eastAsia="en-GB"/>
        </w:rPr>
        <w:t>2</w:t>
      </w:r>
      <w:r w:rsidR="008575F3">
        <w:rPr>
          <w:rFonts w:ascii="Calibri" w:eastAsia="Times New Roman" w:hAnsi="Calibri" w:cs="Calibri"/>
          <w:sz w:val="17"/>
          <w:szCs w:val="17"/>
          <w:vertAlign w:val="superscript"/>
          <w:lang w:val="en-GB" w:eastAsia="en-GB"/>
        </w:rPr>
        <w:t>3</w:t>
      </w:r>
      <w:r w:rsidR="00046455" w:rsidRPr="004403C3">
        <w:rPr>
          <w:rFonts w:ascii="Calibri" w:eastAsia="Times New Roman" w:hAnsi="Calibri" w:cs="Calibri"/>
          <w:sz w:val="22"/>
          <w:szCs w:val="22"/>
          <w:lang w:val="en-GB" w:eastAsia="en-GB"/>
        </w:rPr>
        <w:t> </w:t>
      </w:r>
      <w:r w:rsidR="0019387B">
        <w:rPr>
          <w:rFonts w:ascii="Calibri" w:eastAsia="Times New Roman" w:hAnsi="Calibri" w:cs="Calibri"/>
          <w:sz w:val="22"/>
          <w:szCs w:val="22"/>
          <w:lang w:val="en-GB" w:eastAsia="en-GB"/>
        </w:rPr>
        <w:t xml:space="preserve">The IHR </w:t>
      </w:r>
      <w:r w:rsidR="003D539B">
        <w:rPr>
          <w:rFonts w:ascii="Calibri" w:eastAsia="Times New Roman" w:hAnsi="Calibri" w:cs="Calibri"/>
          <w:sz w:val="22"/>
          <w:szCs w:val="22"/>
          <w:lang w:val="en-GB" w:eastAsia="en-GB"/>
        </w:rPr>
        <w:t xml:space="preserve">deals with both border controls and domestic policy, and therefore engages </w:t>
      </w:r>
      <w:r w:rsidR="00925156">
        <w:rPr>
          <w:rFonts w:ascii="Calibri" w:eastAsia="Times New Roman" w:hAnsi="Calibri" w:cs="Calibri"/>
          <w:sz w:val="22"/>
          <w:szCs w:val="22"/>
          <w:lang w:val="en-GB" w:eastAsia="en-GB"/>
        </w:rPr>
        <w:t xml:space="preserve">substantial national sovereignty issues. </w:t>
      </w:r>
      <w:r w:rsidR="00A81D96">
        <w:rPr>
          <w:rFonts w:ascii="Calibri" w:eastAsia="Times New Roman" w:hAnsi="Calibri" w:cs="Calibri"/>
          <w:sz w:val="22"/>
          <w:szCs w:val="22"/>
          <w:lang w:val="en-GB" w:eastAsia="en-GB"/>
        </w:rPr>
        <w:t xml:space="preserve">For all the lip service </w:t>
      </w:r>
      <w:r w:rsidR="005C40CC">
        <w:rPr>
          <w:rFonts w:ascii="Calibri" w:eastAsia="Times New Roman" w:hAnsi="Calibri" w:cs="Calibri"/>
          <w:sz w:val="22"/>
          <w:szCs w:val="22"/>
          <w:lang w:val="en-GB" w:eastAsia="en-GB"/>
        </w:rPr>
        <w:t xml:space="preserve">paid to the necessity for cooperation, States Parties were ultimately </w:t>
      </w:r>
      <w:r w:rsidR="00911B07">
        <w:rPr>
          <w:rFonts w:ascii="Calibri" w:eastAsia="Times New Roman" w:hAnsi="Calibri" w:cs="Calibri"/>
          <w:sz w:val="22"/>
          <w:szCs w:val="22"/>
          <w:lang w:val="en-GB" w:eastAsia="en-GB"/>
        </w:rPr>
        <w:t>not willing to delegate more power over these central sovereignty issues to WHO.</w:t>
      </w:r>
      <w:r w:rsidR="00046455" w:rsidRPr="004403C3">
        <w:rPr>
          <w:rFonts w:ascii="Calibri" w:eastAsia="Times New Roman" w:hAnsi="Calibri" w:cs="Calibri"/>
          <w:sz w:val="22"/>
          <w:szCs w:val="22"/>
          <w:lang w:val="en-US" w:eastAsia="en-GB"/>
        </w:rPr>
        <w:t> </w:t>
      </w:r>
    </w:p>
    <w:p w14:paraId="11B84ABD" w14:textId="19F39697" w:rsidR="00EB20AD" w:rsidRDefault="00EB20AD" w:rsidP="00463277">
      <w:pPr>
        <w:spacing w:line="360" w:lineRule="auto"/>
        <w:ind w:left="360"/>
        <w:jc w:val="both"/>
        <w:textAlignment w:val="baseline"/>
        <w:rPr>
          <w:rFonts w:ascii="Calibri" w:eastAsia="Times New Roman" w:hAnsi="Calibri" w:cs="Calibri"/>
          <w:sz w:val="22"/>
          <w:szCs w:val="22"/>
          <w:lang w:val="en-US" w:eastAsia="en-GB"/>
        </w:rPr>
      </w:pPr>
    </w:p>
    <w:p w14:paraId="6AAEB1E5" w14:textId="45E59B41" w:rsidR="00F72F12" w:rsidRPr="00B262ED" w:rsidRDefault="00EB20AD" w:rsidP="004403C3">
      <w:pPr>
        <w:pStyle w:val="ListParagraph"/>
        <w:numPr>
          <w:ilvl w:val="0"/>
          <w:numId w:val="63"/>
        </w:numPr>
        <w:spacing w:line="360" w:lineRule="auto"/>
        <w:jc w:val="both"/>
        <w:textAlignment w:val="baseline"/>
        <w:rPr>
          <w:rFonts w:ascii="Calibri" w:eastAsia="Times New Roman" w:hAnsi="Calibri" w:cs="Calibri"/>
          <w:sz w:val="22"/>
          <w:szCs w:val="22"/>
          <w:lang w:val="en-US" w:eastAsia="en-GB"/>
        </w:rPr>
      </w:pPr>
      <w:r w:rsidRPr="004403C3">
        <w:rPr>
          <w:rFonts w:ascii="Calibri" w:eastAsia="Times New Roman" w:hAnsi="Calibri" w:cs="Calibri"/>
          <w:sz w:val="22"/>
          <w:szCs w:val="22"/>
          <w:lang w:val="en-GB" w:eastAsia="en-GB"/>
        </w:rPr>
        <w:t xml:space="preserve">Drafting the IHR therefore presented a dilemma. The IHR could be drafted to include more concrete obligations, clear </w:t>
      </w:r>
      <w:r w:rsidR="0000260B">
        <w:rPr>
          <w:rFonts w:ascii="Calibri" w:eastAsia="Times New Roman" w:hAnsi="Calibri" w:cs="Calibri"/>
          <w:sz w:val="22"/>
          <w:szCs w:val="22"/>
          <w:lang w:val="en-GB" w:eastAsia="en-GB"/>
        </w:rPr>
        <w:t>enforcement</w:t>
      </w:r>
      <w:r w:rsidRPr="004403C3">
        <w:rPr>
          <w:rFonts w:ascii="Calibri" w:eastAsia="Times New Roman" w:hAnsi="Calibri" w:cs="Calibri"/>
          <w:sz w:val="22"/>
          <w:szCs w:val="22"/>
          <w:lang w:val="en-GB" w:eastAsia="en-GB"/>
        </w:rPr>
        <w:t xml:space="preserve"> mechanisms and a higher degree of delegation to WHO, but this would inevitably attract fewer signatory states. Alternatively, the IHR could be drafted as a ‘softer’ form of agreement, without an instrument for enforcement or express financial obligations, but have the assent of most states in the world. Both options threatened to render the IHR ineffective in its aim of global health security. </w:t>
      </w:r>
      <w:r w:rsidR="00E11AEB" w:rsidRPr="004403C3">
        <w:rPr>
          <w:rFonts w:ascii="Calibri" w:eastAsia="Times New Roman" w:hAnsi="Calibri" w:cs="Calibri"/>
          <w:sz w:val="22"/>
          <w:szCs w:val="22"/>
          <w:lang w:val="en-GB" w:eastAsia="en-GB"/>
        </w:rPr>
        <w:t xml:space="preserve">With a </w:t>
      </w:r>
      <w:r w:rsidR="0066777A" w:rsidRPr="004403C3">
        <w:rPr>
          <w:rFonts w:ascii="Calibri" w:eastAsia="Times New Roman" w:hAnsi="Calibri" w:cs="Calibri"/>
          <w:sz w:val="22"/>
          <w:szCs w:val="22"/>
          <w:lang w:val="en-GB" w:eastAsia="en-GB"/>
        </w:rPr>
        <w:t>‘harder’ agreement</w:t>
      </w:r>
      <w:r w:rsidRPr="004403C3">
        <w:rPr>
          <w:rFonts w:ascii="Calibri" w:eastAsia="Times New Roman" w:hAnsi="Calibri" w:cs="Calibri"/>
          <w:sz w:val="22"/>
          <w:szCs w:val="22"/>
          <w:lang w:val="en-GB" w:eastAsia="en-GB"/>
        </w:rPr>
        <w:t xml:space="preserve">, the purpose of the </w:t>
      </w:r>
      <w:r w:rsidR="00E11AEB" w:rsidRPr="004403C3">
        <w:rPr>
          <w:rFonts w:ascii="Calibri" w:eastAsia="Times New Roman" w:hAnsi="Calibri" w:cs="Calibri"/>
          <w:sz w:val="22"/>
          <w:szCs w:val="22"/>
          <w:lang w:val="en-GB" w:eastAsia="en-GB"/>
        </w:rPr>
        <w:t>IHR</w:t>
      </w:r>
      <w:r w:rsidRPr="004403C3">
        <w:rPr>
          <w:rFonts w:ascii="Calibri" w:eastAsia="Times New Roman" w:hAnsi="Calibri" w:cs="Calibri"/>
          <w:sz w:val="22"/>
          <w:szCs w:val="22"/>
          <w:lang w:val="en-GB" w:eastAsia="en-GB"/>
        </w:rPr>
        <w:t xml:space="preserve"> could be prima facie</w:t>
      </w:r>
      <w:r w:rsidR="002B24FF">
        <w:rPr>
          <w:rFonts w:ascii="Calibri" w:eastAsia="Times New Roman" w:hAnsi="Calibri" w:cs="Calibri"/>
          <w:sz w:val="22"/>
          <w:szCs w:val="22"/>
          <w:lang w:val="en-GB" w:eastAsia="en-GB"/>
        </w:rPr>
        <w:t xml:space="preserve"> undermined by state absences. </w:t>
      </w:r>
      <w:r w:rsidR="002B24FF" w:rsidRPr="002B24FF">
        <w:rPr>
          <w:rFonts w:ascii="Calibri" w:eastAsia="Times New Roman" w:hAnsi="Calibri" w:cs="Calibri"/>
          <w:sz w:val="22"/>
          <w:szCs w:val="22"/>
          <w:lang w:val="en-GB" w:eastAsia="en-GB"/>
        </w:rPr>
        <w:t xml:space="preserve"> </w:t>
      </w:r>
      <w:r w:rsidRPr="002B24FF">
        <w:rPr>
          <w:rFonts w:ascii="Calibri" w:eastAsia="Times New Roman" w:hAnsi="Calibri" w:cs="Calibri"/>
          <w:sz w:val="22"/>
          <w:szCs w:val="22"/>
          <w:lang w:val="en-GB" w:eastAsia="en-GB"/>
        </w:rPr>
        <w:t>For</w:t>
      </w:r>
      <w:r w:rsidRPr="004403C3">
        <w:rPr>
          <w:rFonts w:ascii="Calibri" w:eastAsia="Times New Roman" w:hAnsi="Calibri" w:cs="Calibri"/>
          <w:sz w:val="22"/>
          <w:szCs w:val="22"/>
          <w:lang w:val="en-GB" w:eastAsia="en-GB"/>
        </w:rPr>
        <w:t xml:space="preserve"> instance, negotiators of the Kyoto Agreement chose a ‘harder’ form of agreement with more concrete commitments, but these commitments apply to less than 20% of global emissions</w:t>
      </w:r>
      <w:r w:rsidR="00DF7B34">
        <w:rPr>
          <w:rFonts w:ascii="Calibri" w:eastAsia="Times New Roman" w:hAnsi="Calibri" w:cs="Calibri"/>
          <w:sz w:val="22"/>
          <w:szCs w:val="22"/>
          <w:lang w:val="en-GB" w:eastAsia="en-GB"/>
        </w:rPr>
        <w:t>.</w:t>
      </w:r>
      <w:r w:rsidR="00DF7B34" w:rsidRPr="008575F3">
        <w:rPr>
          <w:rStyle w:val="FootnoteReference"/>
          <w:sz w:val="22"/>
          <w:szCs w:val="22"/>
          <w:lang w:val="en-GB"/>
        </w:rPr>
        <w:footnoteReference w:id="24"/>
      </w:r>
      <w:r w:rsidRPr="004403C3">
        <w:rPr>
          <w:rFonts w:ascii="Calibri" w:eastAsia="Times New Roman" w:hAnsi="Calibri" w:cs="Calibri"/>
          <w:sz w:val="22"/>
          <w:szCs w:val="22"/>
          <w:lang w:val="en-GB" w:eastAsia="en-GB"/>
        </w:rPr>
        <w:t> </w:t>
      </w:r>
      <w:r w:rsidR="00E11AEB" w:rsidRPr="004403C3">
        <w:rPr>
          <w:rFonts w:ascii="Calibri" w:eastAsia="Times New Roman" w:hAnsi="Calibri" w:cs="Calibri"/>
          <w:sz w:val="22"/>
          <w:szCs w:val="22"/>
          <w:lang w:val="en-GB" w:eastAsia="en-GB"/>
        </w:rPr>
        <w:t>With a ‘softer’ agreement, the IHR could be undermined by continued non-compliance. </w:t>
      </w:r>
    </w:p>
    <w:p w14:paraId="5464B97A" w14:textId="77777777" w:rsidR="00B262ED" w:rsidRPr="00B262ED" w:rsidRDefault="00B262ED" w:rsidP="00B262ED">
      <w:pPr>
        <w:pStyle w:val="ListParagraph"/>
        <w:rPr>
          <w:rFonts w:ascii="Calibri" w:eastAsia="Times New Roman" w:hAnsi="Calibri" w:cs="Calibri"/>
          <w:sz w:val="22"/>
          <w:szCs w:val="22"/>
          <w:lang w:val="en-US" w:eastAsia="en-GB"/>
        </w:rPr>
      </w:pPr>
    </w:p>
    <w:p w14:paraId="1481D8BE" w14:textId="77777777" w:rsidR="00B262ED" w:rsidRPr="004403C3" w:rsidRDefault="00B262ED" w:rsidP="00B262ED">
      <w:pPr>
        <w:pStyle w:val="ListParagraph"/>
        <w:spacing w:line="360" w:lineRule="auto"/>
        <w:ind w:left="360"/>
        <w:jc w:val="both"/>
        <w:textAlignment w:val="baseline"/>
        <w:rPr>
          <w:rFonts w:ascii="Calibri" w:eastAsia="Times New Roman" w:hAnsi="Calibri" w:cs="Calibri"/>
          <w:sz w:val="22"/>
          <w:szCs w:val="22"/>
          <w:lang w:val="en-US" w:eastAsia="en-GB"/>
        </w:rPr>
      </w:pPr>
    </w:p>
    <w:p w14:paraId="58067A4A" w14:textId="1C049E22" w:rsidR="00EB20AD" w:rsidRPr="004403C3" w:rsidRDefault="00EB20AD" w:rsidP="004403C3">
      <w:pPr>
        <w:pStyle w:val="ListParagraph"/>
        <w:numPr>
          <w:ilvl w:val="0"/>
          <w:numId w:val="63"/>
        </w:numPr>
        <w:spacing w:line="360" w:lineRule="auto"/>
        <w:jc w:val="both"/>
        <w:textAlignment w:val="baseline"/>
        <w:rPr>
          <w:rFonts w:ascii="Calibri" w:eastAsia="Times New Roman" w:hAnsi="Calibri" w:cs="Calibri"/>
          <w:sz w:val="22"/>
          <w:szCs w:val="22"/>
          <w:lang w:val="en-US" w:eastAsia="en-GB"/>
        </w:rPr>
      </w:pPr>
      <w:r w:rsidRPr="004403C3">
        <w:rPr>
          <w:rFonts w:ascii="Calibri" w:eastAsia="Times New Roman" w:hAnsi="Calibri" w:cs="Calibri"/>
          <w:sz w:val="22"/>
          <w:szCs w:val="22"/>
          <w:lang w:val="en-GB" w:eastAsia="en-GB"/>
        </w:rPr>
        <w:t>Ultimately, in a world </w:t>
      </w:r>
      <w:r w:rsidR="00CC4CA6" w:rsidRPr="004403C3">
        <w:rPr>
          <w:rFonts w:ascii="Calibri" w:eastAsia="Times New Roman" w:hAnsi="Calibri" w:cs="Calibri"/>
          <w:sz w:val="22"/>
          <w:szCs w:val="22"/>
          <w:lang w:val="en-GB" w:eastAsia="en-GB"/>
        </w:rPr>
        <w:t xml:space="preserve">where </w:t>
      </w:r>
      <w:r w:rsidRPr="004403C3">
        <w:rPr>
          <w:rFonts w:ascii="Calibri" w:eastAsia="Times New Roman" w:hAnsi="Calibri" w:cs="Calibri"/>
          <w:sz w:val="22"/>
          <w:szCs w:val="22"/>
          <w:lang w:val="en-GB" w:eastAsia="en-GB"/>
        </w:rPr>
        <w:t xml:space="preserve">the exclusion of even one nation state could compromise global health security, negotiators of the IHR opted for the </w:t>
      </w:r>
      <w:r w:rsidR="005C20C5" w:rsidRPr="004403C3">
        <w:rPr>
          <w:rFonts w:ascii="Calibri" w:eastAsia="Times New Roman" w:hAnsi="Calibri" w:cs="Calibri"/>
          <w:sz w:val="22"/>
          <w:szCs w:val="22"/>
          <w:lang w:val="en-GB" w:eastAsia="en-GB"/>
        </w:rPr>
        <w:t>‘softer’ approach</w:t>
      </w:r>
      <w:r w:rsidRPr="004403C3">
        <w:rPr>
          <w:rFonts w:ascii="Calibri" w:eastAsia="Times New Roman" w:hAnsi="Calibri" w:cs="Calibri"/>
          <w:sz w:val="22"/>
          <w:szCs w:val="22"/>
          <w:lang w:val="en-GB" w:eastAsia="en-GB"/>
        </w:rPr>
        <w:t>.</w:t>
      </w:r>
      <w:r w:rsidR="00613A80" w:rsidRPr="004403C3">
        <w:rPr>
          <w:rFonts w:ascii="Calibri" w:eastAsia="Times New Roman" w:hAnsi="Calibri" w:cs="Calibri"/>
          <w:sz w:val="22"/>
          <w:szCs w:val="22"/>
          <w:lang w:val="en-GB" w:eastAsia="en-GB"/>
        </w:rPr>
        <w:t xml:space="preserve"> This is evident not only in the exclusion of </w:t>
      </w:r>
      <w:r w:rsidR="00E40D4D" w:rsidRPr="004403C3">
        <w:rPr>
          <w:rFonts w:ascii="Calibri" w:eastAsia="Times New Roman" w:hAnsi="Calibri" w:cs="Calibri"/>
          <w:sz w:val="22"/>
          <w:szCs w:val="22"/>
          <w:lang w:val="en-GB" w:eastAsia="en-GB"/>
        </w:rPr>
        <w:t>sanctions for violations, but also in the</w:t>
      </w:r>
      <w:r w:rsidR="004E0FB3">
        <w:rPr>
          <w:rFonts w:ascii="Calibri" w:eastAsia="Times New Roman" w:hAnsi="Calibri" w:cs="Calibri"/>
          <w:sz w:val="22"/>
          <w:szCs w:val="22"/>
          <w:lang w:val="en-GB" w:eastAsia="en-GB"/>
        </w:rPr>
        <w:t xml:space="preserve"> overall framing</w:t>
      </w:r>
      <w:r w:rsidR="00E40D4D" w:rsidRPr="004403C3">
        <w:rPr>
          <w:rFonts w:ascii="Calibri" w:eastAsia="Times New Roman" w:hAnsi="Calibri" w:cs="Calibri"/>
          <w:sz w:val="22"/>
          <w:szCs w:val="22"/>
          <w:lang w:val="en-GB" w:eastAsia="en-GB"/>
        </w:rPr>
        <w:t xml:space="preserve"> </w:t>
      </w:r>
      <w:r w:rsidR="009B2D8F" w:rsidRPr="004403C3">
        <w:rPr>
          <w:rFonts w:ascii="Calibri" w:eastAsia="Times New Roman" w:hAnsi="Calibri" w:cs="Calibri"/>
          <w:sz w:val="22"/>
          <w:szCs w:val="22"/>
          <w:lang w:val="en-GB" w:eastAsia="en-GB"/>
        </w:rPr>
        <w:t>of the regulations.</w:t>
      </w:r>
      <w:r w:rsidRPr="004403C3">
        <w:rPr>
          <w:rFonts w:ascii="Calibri" w:eastAsia="Times New Roman" w:hAnsi="Calibri" w:cs="Calibri"/>
          <w:sz w:val="22"/>
          <w:szCs w:val="22"/>
          <w:lang w:val="en-GB" w:eastAsia="en-GB"/>
        </w:rPr>
        <w:t> </w:t>
      </w:r>
      <w:r w:rsidR="00C55726">
        <w:rPr>
          <w:rFonts w:ascii="Calibri" w:eastAsia="Times New Roman" w:hAnsi="Calibri" w:cs="Calibri"/>
          <w:sz w:val="22"/>
          <w:szCs w:val="22"/>
          <w:lang w:val="en-GB" w:eastAsia="en-GB"/>
        </w:rPr>
        <w:t>Interestingly,</w:t>
      </w:r>
      <w:r w:rsidR="00907CF8">
        <w:rPr>
          <w:rFonts w:ascii="Calibri" w:eastAsia="Times New Roman" w:hAnsi="Calibri" w:cs="Calibri"/>
          <w:sz w:val="22"/>
          <w:szCs w:val="22"/>
          <w:lang w:val="en-GB" w:eastAsia="en-GB"/>
        </w:rPr>
        <w:t xml:space="preserve"> drafters of the IHR deliberately avoided framing Article 43 as a delegation of authority to WHO. </w:t>
      </w:r>
      <w:r w:rsidR="00F51F71">
        <w:rPr>
          <w:rFonts w:ascii="Calibri" w:eastAsia="Times New Roman" w:hAnsi="Calibri" w:cs="Calibri"/>
          <w:sz w:val="22"/>
          <w:szCs w:val="22"/>
          <w:lang w:val="en-GB" w:eastAsia="en-GB"/>
        </w:rPr>
        <w:t>Although the purpose of the article is to prevent</w:t>
      </w:r>
      <w:r w:rsidR="00FF377B">
        <w:rPr>
          <w:rFonts w:ascii="Calibri" w:eastAsia="Times New Roman" w:hAnsi="Calibri" w:cs="Calibri"/>
          <w:sz w:val="22"/>
          <w:szCs w:val="22"/>
          <w:lang w:val="en-GB" w:eastAsia="en-GB"/>
        </w:rPr>
        <w:t xml:space="preserve"> states from introducing additional measures, the opening s</w:t>
      </w:r>
      <w:r w:rsidR="00E437E4">
        <w:rPr>
          <w:rFonts w:ascii="Calibri" w:eastAsia="Times New Roman" w:hAnsi="Calibri" w:cs="Calibri"/>
          <w:sz w:val="22"/>
          <w:szCs w:val="22"/>
          <w:lang w:val="en-GB" w:eastAsia="en-GB"/>
        </w:rPr>
        <w:t>tatement of the article is that ‘[t]</w:t>
      </w:r>
      <w:proofErr w:type="spellStart"/>
      <w:r w:rsidR="00E437E4">
        <w:rPr>
          <w:rFonts w:ascii="Calibri" w:eastAsia="Times New Roman" w:hAnsi="Calibri" w:cs="Calibri"/>
          <w:sz w:val="22"/>
          <w:szCs w:val="22"/>
          <w:lang w:val="en-GB" w:eastAsia="en-GB"/>
        </w:rPr>
        <w:t>hese</w:t>
      </w:r>
      <w:proofErr w:type="spellEnd"/>
      <w:r w:rsidR="00E437E4">
        <w:rPr>
          <w:rFonts w:ascii="Calibri" w:eastAsia="Times New Roman" w:hAnsi="Calibri" w:cs="Calibri"/>
          <w:sz w:val="22"/>
          <w:szCs w:val="22"/>
          <w:lang w:val="en-GB" w:eastAsia="en-GB"/>
        </w:rPr>
        <w:t xml:space="preserve"> Regulations shall not preclude </w:t>
      </w:r>
      <w:r w:rsidR="0087443F">
        <w:rPr>
          <w:rFonts w:ascii="Calibri" w:eastAsia="Times New Roman" w:hAnsi="Calibri" w:cs="Calibri"/>
          <w:sz w:val="22"/>
          <w:szCs w:val="22"/>
          <w:lang w:val="en-GB" w:eastAsia="en-GB"/>
        </w:rPr>
        <w:t>States Parties from implementing health measures</w:t>
      </w:r>
      <w:r w:rsidR="00EE12A5">
        <w:rPr>
          <w:rFonts w:ascii="Calibri" w:eastAsia="Times New Roman" w:hAnsi="Calibri" w:cs="Calibri"/>
          <w:sz w:val="22"/>
          <w:szCs w:val="22"/>
          <w:lang w:val="en-GB" w:eastAsia="en-GB"/>
        </w:rPr>
        <w:t xml:space="preserve"> […] which achieve the same or greater level of health protection than WHO recommendations.’</w:t>
      </w:r>
      <w:r w:rsidR="00EE12A5">
        <w:rPr>
          <w:rStyle w:val="FootnoteReference"/>
          <w:rFonts w:ascii="Calibri" w:eastAsia="Times New Roman" w:hAnsi="Calibri" w:cs="Calibri"/>
          <w:sz w:val="22"/>
          <w:szCs w:val="22"/>
          <w:lang w:val="en-GB" w:eastAsia="en-GB"/>
        </w:rPr>
        <w:footnoteReference w:id="25"/>
      </w:r>
      <w:r w:rsidR="00F51F71">
        <w:rPr>
          <w:rFonts w:ascii="Calibri" w:eastAsia="Times New Roman" w:hAnsi="Calibri" w:cs="Calibri"/>
          <w:sz w:val="22"/>
          <w:szCs w:val="22"/>
          <w:lang w:val="en-GB" w:eastAsia="en-GB"/>
        </w:rPr>
        <w:t xml:space="preserve"> </w:t>
      </w:r>
      <w:r w:rsidR="006F2170">
        <w:rPr>
          <w:rFonts w:ascii="Calibri" w:eastAsia="Times New Roman" w:hAnsi="Calibri" w:cs="Calibri"/>
          <w:sz w:val="22"/>
          <w:szCs w:val="22"/>
          <w:lang w:val="en-GB" w:eastAsia="en-GB"/>
        </w:rPr>
        <w:t xml:space="preserve">This framing reveals </w:t>
      </w:r>
      <w:r w:rsidR="00CA6E4F">
        <w:rPr>
          <w:rFonts w:ascii="Calibri" w:eastAsia="Times New Roman" w:hAnsi="Calibri" w:cs="Calibri"/>
          <w:sz w:val="22"/>
          <w:szCs w:val="22"/>
          <w:lang w:val="en-GB" w:eastAsia="en-GB"/>
        </w:rPr>
        <w:t xml:space="preserve">an awareness that Article 43 was </w:t>
      </w:r>
      <w:r w:rsidR="00B62266">
        <w:rPr>
          <w:rFonts w:ascii="Calibri" w:eastAsia="Times New Roman" w:hAnsi="Calibri" w:cs="Calibri"/>
          <w:sz w:val="22"/>
          <w:szCs w:val="22"/>
          <w:lang w:val="en-GB" w:eastAsia="en-GB"/>
        </w:rPr>
        <w:t>encroaching</w:t>
      </w:r>
      <w:r w:rsidR="005E1F26">
        <w:rPr>
          <w:rFonts w:ascii="Calibri" w:eastAsia="Times New Roman" w:hAnsi="Calibri" w:cs="Calibri"/>
          <w:sz w:val="22"/>
          <w:szCs w:val="22"/>
          <w:lang w:val="en-GB" w:eastAsia="en-GB"/>
        </w:rPr>
        <w:t xml:space="preserve"> on sensitive territory and a recognition that global assent was</w:t>
      </w:r>
      <w:r w:rsidR="00690598" w:rsidRPr="004403C3">
        <w:rPr>
          <w:rFonts w:ascii="Calibri" w:eastAsia="Times New Roman" w:hAnsi="Calibri" w:cs="Calibri"/>
          <w:sz w:val="22"/>
          <w:szCs w:val="22"/>
          <w:lang w:val="en-GB" w:eastAsia="en-GB"/>
        </w:rPr>
        <w:t xml:space="preserve"> </w:t>
      </w:r>
      <w:r w:rsidRPr="004403C3">
        <w:rPr>
          <w:rFonts w:ascii="Calibri" w:eastAsia="Times New Roman" w:hAnsi="Calibri" w:cs="Calibri"/>
          <w:sz w:val="22"/>
          <w:szCs w:val="22"/>
          <w:lang w:val="en-GB" w:eastAsia="en-GB"/>
        </w:rPr>
        <w:t xml:space="preserve">needed if the IHR could </w:t>
      </w:r>
      <w:r w:rsidR="00B62266">
        <w:rPr>
          <w:rFonts w:ascii="Calibri" w:eastAsia="Times New Roman" w:hAnsi="Calibri" w:cs="Calibri"/>
          <w:sz w:val="22"/>
          <w:szCs w:val="22"/>
          <w:lang w:val="en-GB" w:eastAsia="en-GB"/>
        </w:rPr>
        <w:t xml:space="preserve">credibly </w:t>
      </w:r>
      <w:r w:rsidRPr="004403C3">
        <w:rPr>
          <w:rFonts w:ascii="Calibri" w:eastAsia="Times New Roman" w:hAnsi="Calibri" w:cs="Calibri"/>
          <w:sz w:val="22"/>
          <w:szCs w:val="22"/>
          <w:lang w:val="en-GB" w:eastAsia="en-GB"/>
        </w:rPr>
        <w:t>claim to provide a legal framework for global health security</w:t>
      </w:r>
      <w:r w:rsidR="00B62266">
        <w:rPr>
          <w:rFonts w:ascii="Calibri" w:eastAsia="Times New Roman" w:hAnsi="Calibri" w:cs="Calibri"/>
          <w:sz w:val="22"/>
          <w:szCs w:val="22"/>
          <w:lang w:val="en-GB" w:eastAsia="en-GB"/>
        </w:rPr>
        <w:t xml:space="preserve">. </w:t>
      </w:r>
    </w:p>
    <w:p w14:paraId="65ABB23D" w14:textId="77777777" w:rsidR="009535BD" w:rsidRDefault="009535BD" w:rsidP="00463277">
      <w:pPr>
        <w:spacing w:line="360" w:lineRule="auto"/>
        <w:jc w:val="both"/>
        <w:textAlignment w:val="baseline"/>
        <w:rPr>
          <w:rFonts w:ascii="Calibri" w:eastAsia="Times New Roman" w:hAnsi="Calibri" w:cs="Calibri"/>
          <w:sz w:val="22"/>
          <w:szCs w:val="22"/>
          <w:lang w:val="en-US" w:eastAsia="en-GB"/>
        </w:rPr>
      </w:pPr>
    </w:p>
    <w:p w14:paraId="2689F099" w14:textId="77777777" w:rsidR="00EE09E3" w:rsidRPr="00EE09E3" w:rsidRDefault="00EE09E3" w:rsidP="00463277">
      <w:pPr>
        <w:spacing w:line="360" w:lineRule="auto"/>
        <w:ind w:left="360"/>
        <w:jc w:val="both"/>
        <w:textAlignment w:val="baseline"/>
        <w:rPr>
          <w:rFonts w:ascii="Calibri" w:eastAsia="Times New Roman" w:hAnsi="Calibri" w:cs="Calibri"/>
          <w:sz w:val="22"/>
          <w:szCs w:val="22"/>
          <w:lang w:val="en-US" w:eastAsia="en-GB"/>
        </w:rPr>
      </w:pPr>
      <w:r w:rsidRPr="00EE09E3">
        <w:rPr>
          <w:rFonts w:ascii="Calibri" w:eastAsia="Times New Roman" w:hAnsi="Calibri" w:cs="Calibri"/>
          <w:sz w:val="22"/>
          <w:szCs w:val="22"/>
          <w:lang w:val="en-GB" w:eastAsia="en-GB"/>
        </w:rPr>
        <w:t>  </w:t>
      </w:r>
      <w:r w:rsidRPr="00EE09E3">
        <w:rPr>
          <w:rFonts w:ascii="Calibri" w:eastAsia="Times New Roman" w:hAnsi="Calibri" w:cs="Calibri"/>
          <w:sz w:val="22"/>
          <w:szCs w:val="22"/>
          <w:lang w:val="en-US" w:eastAsia="en-GB"/>
        </w:rPr>
        <w:t> </w:t>
      </w:r>
    </w:p>
    <w:p w14:paraId="662EBD54" w14:textId="2A22263E" w:rsidR="002A547D" w:rsidRPr="002A547D" w:rsidRDefault="00EE09E3" w:rsidP="002A547D">
      <w:pPr>
        <w:numPr>
          <w:ilvl w:val="0"/>
          <w:numId w:val="30"/>
        </w:numPr>
        <w:spacing w:line="360" w:lineRule="auto"/>
        <w:ind w:left="360" w:firstLine="0"/>
        <w:jc w:val="both"/>
        <w:textAlignment w:val="baseline"/>
        <w:rPr>
          <w:rStyle w:val="normaltextrun"/>
          <w:rFonts w:ascii="Calibri" w:eastAsia="Times New Roman" w:hAnsi="Calibri" w:cs="Calibri"/>
          <w:sz w:val="22"/>
          <w:szCs w:val="22"/>
          <w:lang w:val="en-US" w:eastAsia="en-GB"/>
        </w:rPr>
      </w:pPr>
      <w:r w:rsidRPr="00EE09E3">
        <w:rPr>
          <w:rFonts w:ascii="Calibri" w:eastAsia="Times New Roman" w:hAnsi="Calibri" w:cs="Calibri"/>
          <w:sz w:val="22"/>
          <w:szCs w:val="22"/>
          <w:lang w:val="en-GB" w:eastAsia="en-GB"/>
        </w:rPr>
        <w:t xml:space="preserve">Developments since the IHR’s ratification confirms that </w:t>
      </w:r>
      <w:r w:rsidR="00C91966">
        <w:rPr>
          <w:rFonts w:ascii="Calibri" w:eastAsia="Times New Roman" w:hAnsi="Calibri" w:cs="Calibri"/>
          <w:sz w:val="22"/>
          <w:szCs w:val="22"/>
          <w:lang w:val="en-GB" w:eastAsia="en-GB"/>
        </w:rPr>
        <w:t xml:space="preserve">the </w:t>
      </w:r>
      <w:r w:rsidR="00B262ED">
        <w:rPr>
          <w:rFonts w:ascii="Calibri" w:eastAsia="Times New Roman" w:hAnsi="Calibri" w:cs="Calibri"/>
          <w:sz w:val="22"/>
          <w:szCs w:val="22"/>
          <w:lang w:val="en-GB" w:eastAsia="en-GB"/>
        </w:rPr>
        <w:t>primacy</w:t>
      </w:r>
      <w:r w:rsidR="00C91966">
        <w:rPr>
          <w:rFonts w:ascii="Calibri" w:eastAsia="Times New Roman" w:hAnsi="Calibri" w:cs="Calibri"/>
          <w:sz w:val="22"/>
          <w:szCs w:val="22"/>
          <w:lang w:val="en-GB" w:eastAsia="en-GB"/>
        </w:rPr>
        <w:t xml:space="preserve"> of national interest that</w:t>
      </w:r>
      <w:r w:rsidR="00715319">
        <w:rPr>
          <w:rFonts w:ascii="Calibri" w:eastAsia="Times New Roman" w:hAnsi="Calibri" w:cs="Calibri"/>
          <w:sz w:val="22"/>
          <w:szCs w:val="22"/>
          <w:lang w:val="en-GB" w:eastAsia="en-GB"/>
        </w:rPr>
        <w:t xml:space="preserve"> required a ‘softer’ IHR</w:t>
      </w:r>
      <w:r w:rsidR="0007518B">
        <w:rPr>
          <w:rFonts w:ascii="Calibri" w:eastAsia="Times New Roman" w:hAnsi="Calibri" w:cs="Calibri"/>
          <w:sz w:val="22"/>
          <w:szCs w:val="22"/>
          <w:lang w:val="en-GB" w:eastAsia="en-GB"/>
        </w:rPr>
        <w:t xml:space="preserve"> has remained largely unchanged.</w:t>
      </w:r>
      <w:r w:rsidR="00C91966">
        <w:rPr>
          <w:rFonts w:ascii="Calibri" w:eastAsia="Times New Roman" w:hAnsi="Calibri" w:cs="Calibri"/>
          <w:sz w:val="22"/>
          <w:szCs w:val="22"/>
          <w:lang w:val="en-GB" w:eastAsia="en-GB"/>
        </w:rPr>
        <w:t xml:space="preserve"> </w:t>
      </w:r>
      <w:r w:rsidRPr="00EE09E3">
        <w:rPr>
          <w:rFonts w:ascii="Calibri" w:eastAsia="Times New Roman" w:hAnsi="Calibri" w:cs="Calibri"/>
          <w:sz w:val="22"/>
          <w:szCs w:val="22"/>
          <w:lang w:val="en-GB" w:eastAsia="en-GB"/>
        </w:rPr>
        <w:t>Self-interest is clear in the routine disregard</w:t>
      </w:r>
      <w:r w:rsidR="0007518B">
        <w:rPr>
          <w:rFonts w:ascii="Calibri" w:eastAsia="Times New Roman" w:hAnsi="Calibri" w:cs="Calibri"/>
          <w:sz w:val="22"/>
          <w:szCs w:val="22"/>
          <w:lang w:val="en-GB" w:eastAsia="en-GB"/>
        </w:rPr>
        <w:t xml:space="preserve"> for</w:t>
      </w:r>
      <w:r w:rsidRPr="00EE09E3">
        <w:rPr>
          <w:rFonts w:ascii="Calibri" w:eastAsia="Times New Roman" w:hAnsi="Calibri" w:cs="Calibri"/>
          <w:sz w:val="22"/>
          <w:szCs w:val="22"/>
          <w:lang w:val="en-GB" w:eastAsia="en-GB"/>
        </w:rPr>
        <w:t xml:space="preserve"> Article 43 during PHEICs. It can be seen even in moments of apparent cooperative spirit. For instance, Western aid in response to the Ebola PHEIC of 2014 – 2016 was only forthcoming when the first cases of Ebola reached </w:t>
      </w:r>
      <w:r w:rsidR="0007518B">
        <w:rPr>
          <w:rFonts w:ascii="Calibri" w:eastAsia="Times New Roman" w:hAnsi="Calibri" w:cs="Calibri"/>
          <w:sz w:val="22"/>
          <w:szCs w:val="22"/>
          <w:lang w:val="en-GB" w:eastAsia="en-GB"/>
        </w:rPr>
        <w:t>Europe</w:t>
      </w:r>
      <w:r w:rsidRPr="00EE09E3">
        <w:rPr>
          <w:rFonts w:ascii="Calibri" w:eastAsia="Times New Roman" w:hAnsi="Calibri" w:cs="Calibri"/>
          <w:sz w:val="22"/>
          <w:szCs w:val="22"/>
          <w:lang w:val="en-GB" w:eastAsia="en-GB"/>
        </w:rPr>
        <w:t xml:space="preserve"> and the United States</w:t>
      </w:r>
      <w:r w:rsidR="00D60DE6">
        <w:rPr>
          <w:rFonts w:ascii="Calibri" w:eastAsia="Times New Roman" w:hAnsi="Calibri" w:cs="Calibri"/>
          <w:sz w:val="22"/>
          <w:szCs w:val="22"/>
          <w:lang w:val="en-GB" w:eastAsia="en-GB"/>
        </w:rPr>
        <w:t>.</w:t>
      </w:r>
      <w:r w:rsidR="00D60DE6" w:rsidRPr="00D60DE6">
        <w:rPr>
          <w:rStyle w:val="normaltextrun"/>
          <w:lang w:val="en-GB"/>
        </w:rPr>
        <w:t xml:space="preserve"> </w:t>
      </w:r>
      <w:r w:rsidR="00D60DE6" w:rsidRPr="4A5A26F0">
        <w:rPr>
          <w:rStyle w:val="FootnoteReference"/>
          <w:lang w:val="en-GB"/>
        </w:rPr>
        <w:footnoteReference w:id="26"/>
      </w:r>
      <w:r w:rsidR="00D60DE6">
        <w:rPr>
          <w:rFonts w:ascii="Calibri" w:eastAsia="Times New Roman" w:hAnsi="Calibri" w:cs="Calibri"/>
          <w:sz w:val="22"/>
          <w:szCs w:val="22"/>
          <w:lang w:val="en-GB" w:eastAsia="en-GB"/>
        </w:rPr>
        <w:t xml:space="preserve"> </w:t>
      </w:r>
      <w:r w:rsidRPr="00EE09E3">
        <w:rPr>
          <w:rFonts w:ascii="Calibri" w:eastAsia="Times New Roman" w:hAnsi="Calibri" w:cs="Calibri"/>
          <w:sz w:val="22"/>
          <w:szCs w:val="22"/>
          <w:lang w:val="en-GB" w:eastAsia="en-GB"/>
        </w:rPr>
        <w:t> Self-</w:t>
      </w:r>
      <w:r w:rsidRPr="00EE09E3">
        <w:rPr>
          <w:rFonts w:ascii="Calibri" w:eastAsia="Times New Roman" w:hAnsi="Calibri" w:cs="Calibri"/>
          <w:sz w:val="22"/>
          <w:szCs w:val="22"/>
          <w:lang w:val="en-GB" w:eastAsia="en-GB"/>
        </w:rPr>
        <w:lastRenderedPageBreak/>
        <w:t>interest was also the dominant response to the current pandemic. Although the necessity of cooperation in</w:t>
      </w:r>
      <w:r w:rsidR="00972A8D">
        <w:rPr>
          <w:rFonts w:ascii="Calibri" w:eastAsia="Times New Roman" w:hAnsi="Calibri" w:cs="Calibri"/>
          <w:sz w:val="22"/>
          <w:szCs w:val="22"/>
          <w:lang w:val="en-GB" w:eastAsia="en-GB"/>
        </w:rPr>
        <w:t xml:space="preserve"> </w:t>
      </w:r>
      <w:r w:rsidRPr="00EE09E3">
        <w:rPr>
          <w:rFonts w:ascii="Calibri" w:eastAsia="Times New Roman" w:hAnsi="Calibri" w:cs="Calibri"/>
          <w:sz w:val="22"/>
          <w:szCs w:val="22"/>
          <w:lang w:val="en-GB" w:eastAsia="en-GB"/>
        </w:rPr>
        <w:t>overcoming</w:t>
      </w:r>
      <w:r w:rsidR="00972A8D">
        <w:rPr>
          <w:rFonts w:ascii="Calibri" w:eastAsia="Times New Roman" w:hAnsi="Calibri" w:cs="Calibri"/>
          <w:sz w:val="22"/>
          <w:szCs w:val="22"/>
          <w:lang w:val="en-GB" w:eastAsia="en-GB"/>
        </w:rPr>
        <w:t xml:space="preserve"> </w:t>
      </w:r>
      <w:r w:rsidRPr="00EE09E3">
        <w:rPr>
          <w:rFonts w:ascii="Calibri" w:eastAsia="Times New Roman" w:hAnsi="Calibri" w:cs="Calibri"/>
          <w:sz w:val="22"/>
          <w:szCs w:val="22"/>
          <w:lang w:val="en-GB" w:eastAsia="en-GB"/>
        </w:rPr>
        <w:t>COVID-</w:t>
      </w:r>
      <w:proofErr w:type="gramStart"/>
      <w:r w:rsidRPr="00EE09E3">
        <w:rPr>
          <w:rFonts w:ascii="Calibri" w:eastAsia="Times New Roman" w:hAnsi="Calibri" w:cs="Calibri"/>
          <w:sz w:val="22"/>
          <w:szCs w:val="22"/>
          <w:lang w:val="en-GB" w:eastAsia="en-GB"/>
        </w:rPr>
        <w:t>19</w:t>
      </w:r>
      <w:r w:rsidR="00972A8D">
        <w:rPr>
          <w:rFonts w:ascii="Calibri" w:eastAsia="Times New Roman" w:hAnsi="Calibri" w:cs="Calibri"/>
          <w:sz w:val="22"/>
          <w:szCs w:val="22"/>
          <w:lang w:val="en-GB" w:eastAsia="en-GB"/>
        </w:rPr>
        <w:t xml:space="preserve"> </w:t>
      </w:r>
      <w:r w:rsidRPr="00EE09E3">
        <w:rPr>
          <w:rFonts w:ascii="Calibri" w:eastAsia="Times New Roman" w:hAnsi="Calibri" w:cs="Calibri"/>
          <w:sz w:val="22"/>
          <w:szCs w:val="22"/>
          <w:lang w:val="en-GB" w:eastAsia="en-GB"/>
        </w:rPr>
        <w:t> was</w:t>
      </w:r>
      <w:proofErr w:type="gramEnd"/>
      <w:r w:rsidRPr="00EE09E3">
        <w:rPr>
          <w:rFonts w:ascii="Calibri" w:eastAsia="Times New Roman" w:hAnsi="Calibri" w:cs="Calibri"/>
          <w:sz w:val="22"/>
          <w:szCs w:val="22"/>
          <w:lang w:val="en-GB" w:eastAsia="en-GB"/>
        </w:rPr>
        <w:t xml:space="preserve"> the common refrain of the States Parties’ representatives’ at this years’ World Health Assembly,</w:t>
      </w:r>
      <w:r w:rsidR="00BB3E7F">
        <w:rPr>
          <w:rFonts w:ascii="Calibri" w:eastAsia="Times New Roman" w:hAnsi="Calibri" w:cs="Calibri"/>
          <w:sz w:val="22"/>
          <w:szCs w:val="22"/>
          <w:lang w:val="en-GB" w:eastAsia="en-GB"/>
        </w:rPr>
        <w:t xml:space="preserve"> </w:t>
      </w:r>
      <w:r w:rsidRPr="00EE09E3">
        <w:rPr>
          <w:rFonts w:ascii="Calibri" w:eastAsia="Times New Roman" w:hAnsi="Calibri" w:cs="Calibri"/>
          <w:sz w:val="22"/>
          <w:szCs w:val="22"/>
          <w:lang w:val="en-GB" w:eastAsia="en-GB"/>
        </w:rPr>
        <w:t> the actual responses to the outbreak tell a different story.</w:t>
      </w:r>
      <w:r w:rsidR="00BB3E7F" w:rsidRPr="00BB3E7F">
        <w:rPr>
          <w:rStyle w:val="normaltextrun"/>
          <w:lang w:val="en-GB"/>
        </w:rPr>
        <w:t xml:space="preserve"> </w:t>
      </w:r>
      <w:r w:rsidR="00BB3E7F" w:rsidRPr="4A5A26F0">
        <w:rPr>
          <w:rStyle w:val="FootnoteReference"/>
          <w:lang w:val="en-GB"/>
        </w:rPr>
        <w:footnoteReference w:id="27"/>
      </w:r>
      <w:r w:rsidR="00BB3E7F">
        <w:rPr>
          <w:rStyle w:val="normaltextrun"/>
          <w:lang w:val="en-GB"/>
        </w:rPr>
        <w:t xml:space="preserve"> </w:t>
      </w:r>
      <w:r w:rsidRPr="00EE09E3">
        <w:rPr>
          <w:rFonts w:ascii="Calibri" w:eastAsia="Times New Roman" w:hAnsi="Calibri" w:cs="Calibri"/>
          <w:sz w:val="22"/>
          <w:szCs w:val="22"/>
          <w:lang w:val="en-GB" w:eastAsia="en-GB"/>
        </w:rPr>
        <w:t> By late March 2020, when the Italian experience made it clear that COVID-19 could bring even the most developed health care systems to</w:t>
      </w:r>
      <w:r w:rsidR="00C53D80">
        <w:rPr>
          <w:rFonts w:ascii="Calibri" w:eastAsia="Times New Roman" w:hAnsi="Calibri" w:cs="Calibri"/>
          <w:sz w:val="22"/>
          <w:szCs w:val="22"/>
          <w:lang w:val="en-GB" w:eastAsia="en-GB"/>
        </w:rPr>
        <w:t xml:space="preserve"> their</w:t>
      </w:r>
      <w:r w:rsidRPr="00EE09E3">
        <w:rPr>
          <w:rFonts w:ascii="Calibri" w:eastAsia="Times New Roman" w:hAnsi="Calibri" w:cs="Calibri"/>
          <w:sz w:val="22"/>
          <w:szCs w:val="22"/>
          <w:lang w:val="en-GB" w:eastAsia="en-GB"/>
        </w:rPr>
        <w:t> knees, more than 50 States Parties had introduced some </w:t>
      </w:r>
      <w:r w:rsidRPr="00EE09E3">
        <w:rPr>
          <w:rFonts w:ascii="Calibri" w:eastAsia="Times New Roman" w:hAnsi="Calibri" w:cs="Calibri"/>
          <w:strike/>
          <w:sz w:val="22"/>
          <w:szCs w:val="22"/>
          <w:lang w:val="en-GB" w:eastAsia="en-GB"/>
        </w:rPr>
        <w:t>form of</w:t>
      </w:r>
      <w:r w:rsidRPr="00EE09E3">
        <w:rPr>
          <w:rFonts w:ascii="Calibri" w:eastAsia="Times New Roman" w:hAnsi="Calibri" w:cs="Calibri"/>
          <w:sz w:val="22"/>
          <w:szCs w:val="22"/>
          <w:lang w:val="en-GB" w:eastAsia="en-GB"/>
        </w:rPr>
        <w:t> restriction on the export of medical supplies and drugs.</w:t>
      </w:r>
      <w:r w:rsidRPr="00EE09E3">
        <w:rPr>
          <w:rFonts w:ascii="Calibri" w:eastAsia="Times New Roman" w:hAnsi="Calibri" w:cs="Calibri"/>
          <w:sz w:val="17"/>
          <w:szCs w:val="17"/>
          <w:vertAlign w:val="superscript"/>
          <w:lang w:val="en-GB" w:eastAsia="en-GB"/>
        </w:rPr>
        <w:t>25</w:t>
      </w:r>
      <w:r w:rsidRPr="00EE09E3">
        <w:rPr>
          <w:rFonts w:ascii="Calibri" w:eastAsia="Times New Roman" w:hAnsi="Calibri" w:cs="Calibri"/>
          <w:sz w:val="22"/>
          <w:szCs w:val="22"/>
          <w:lang w:val="en-GB" w:eastAsia="en-GB"/>
        </w:rPr>
        <w:t xml:space="preserve"> the initial response was to  and keep the valuable supply for its own citizens. The Independent Oversight and Advisory Committee for the WHO Health Emergencies Programme lamented the </w:t>
      </w:r>
      <w:r w:rsidR="00C53D80">
        <w:rPr>
          <w:rFonts w:ascii="Calibri" w:eastAsia="Times New Roman" w:hAnsi="Calibri" w:cs="Calibri"/>
          <w:sz w:val="22"/>
          <w:szCs w:val="22"/>
          <w:lang w:val="en-GB" w:eastAsia="en-GB"/>
        </w:rPr>
        <w:t>‘</w:t>
      </w:r>
      <w:r w:rsidRPr="00EE09E3">
        <w:rPr>
          <w:rFonts w:ascii="Calibri" w:eastAsia="Times New Roman" w:hAnsi="Calibri" w:cs="Calibri"/>
          <w:sz w:val="22"/>
          <w:szCs w:val="22"/>
          <w:lang w:val="en-GB" w:eastAsia="en-GB"/>
        </w:rPr>
        <w:t>palpable lack of global solidarity and common purpose</w:t>
      </w:r>
      <w:r w:rsidR="00C53D80">
        <w:rPr>
          <w:rFonts w:ascii="Calibri" w:eastAsia="Times New Roman" w:hAnsi="Calibri" w:cs="Calibri"/>
          <w:sz w:val="22"/>
          <w:szCs w:val="22"/>
          <w:lang w:val="en-GB" w:eastAsia="en-GB"/>
        </w:rPr>
        <w:t>’</w:t>
      </w:r>
      <w:r w:rsidRPr="00EE09E3">
        <w:rPr>
          <w:rFonts w:ascii="Calibri" w:eastAsia="Times New Roman" w:hAnsi="Calibri" w:cs="Calibri"/>
          <w:sz w:val="22"/>
          <w:szCs w:val="22"/>
          <w:lang w:val="en-GB" w:eastAsia="en-GB"/>
        </w:rPr>
        <w:t xml:space="preserve"> in its interim report on the response to COVID-19.</w:t>
      </w:r>
      <w:r w:rsidR="00C53D80" w:rsidRPr="00C53D80">
        <w:rPr>
          <w:rStyle w:val="normaltextrun"/>
          <w:lang w:val="en-GB"/>
        </w:rPr>
        <w:t xml:space="preserve"> </w:t>
      </w:r>
      <w:r w:rsidR="00C53D80" w:rsidRPr="4A5A26F0">
        <w:rPr>
          <w:rStyle w:val="FootnoteReference"/>
          <w:lang w:val="en-GB"/>
        </w:rPr>
        <w:footnoteReference w:id="28"/>
      </w:r>
    </w:p>
    <w:p w14:paraId="7B21F37C" w14:textId="77777777" w:rsidR="002A547D" w:rsidRDefault="002A547D" w:rsidP="002A547D">
      <w:pPr>
        <w:spacing w:line="360" w:lineRule="auto"/>
        <w:ind w:left="360"/>
        <w:jc w:val="both"/>
        <w:textAlignment w:val="baseline"/>
        <w:rPr>
          <w:rStyle w:val="normaltextrun"/>
          <w:rFonts w:ascii="Calibri" w:eastAsia="Times New Roman" w:hAnsi="Calibri" w:cs="Calibri"/>
          <w:sz w:val="22"/>
          <w:szCs w:val="22"/>
          <w:lang w:val="en-US" w:eastAsia="en-GB"/>
        </w:rPr>
      </w:pPr>
    </w:p>
    <w:p w14:paraId="51BCB1F7" w14:textId="77777777" w:rsidR="00432E66" w:rsidRDefault="0056142B" w:rsidP="00432E66">
      <w:pPr>
        <w:numPr>
          <w:ilvl w:val="0"/>
          <w:numId w:val="30"/>
        </w:numPr>
        <w:spacing w:line="360" w:lineRule="auto"/>
        <w:ind w:left="360" w:firstLine="0"/>
        <w:jc w:val="both"/>
        <w:textAlignment w:val="baseline"/>
        <w:rPr>
          <w:rFonts w:ascii="Calibri" w:eastAsia="Times New Roman" w:hAnsi="Calibri" w:cs="Calibri"/>
          <w:sz w:val="22"/>
          <w:szCs w:val="22"/>
          <w:lang w:val="en-US" w:eastAsia="en-GB"/>
        </w:rPr>
      </w:pPr>
      <w:r>
        <w:rPr>
          <w:rFonts w:ascii="Calibri" w:eastAsia="Times New Roman" w:hAnsi="Calibri" w:cs="Calibri"/>
          <w:sz w:val="22"/>
          <w:szCs w:val="22"/>
          <w:lang w:val="en-GB" w:eastAsia="en-GB"/>
        </w:rPr>
        <w:t>However, s</w:t>
      </w:r>
      <w:r w:rsidR="003E2BC1">
        <w:rPr>
          <w:rFonts w:ascii="Calibri" w:eastAsia="Times New Roman" w:hAnsi="Calibri" w:cs="Calibri"/>
          <w:sz w:val="22"/>
          <w:szCs w:val="22"/>
          <w:lang w:val="en-GB" w:eastAsia="en-GB"/>
        </w:rPr>
        <w:t xml:space="preserve">tate non-compliance does not excuse </w:t>
      </w:r>
      <w:r>
        <w:rPr>
          <w:rFonts w:ascii="Calibri" w:eastAsia="Times New Roman" w:hAnsi="Calibri" w:cs="Calibri"/>
          <w:sz w:val="22"/>
          <w:szCs w:val="22"/>
          <w:lang w:val="en-GB" w:eastAsia="en-GB"/>
        </w:rPr>
        <w:t xml:space="preserve">the WHO’s </w:t>
      </w:r>
      <w:r w:rsidR="002A547D" w:rsidRPr="002A547D">
        <w:rPr>
          <w:rFonts w:ascii="Calibri" w:eastAsia="Times New Roman" w:hAnsi="Calibri" w:cs="Calibri"/>
          <w:sz w:val="22"/>
          <w:szCs w:val="22"/>
          <w:lang w:val="en-GB" w:eastAsia="en-GB"/>
        </w:rPr>
        <w:t xml:space="preserve">Secretariat’s unwillingness to harness the IHR legal framework against the culture of non-compliance. The WHO Secretariats complacency has fed into </w:t>
      </w:r>
      <w:r>
        <w:rPr>
          <w:rFonts w:ascii="Calibri" w:eastAsia="Times New Roman" w:hAnsi="Calibri" w:cs="Calibri"/>
          <w:sz w:val="22"/>
          <w:szCs w:val="22"/>
          <w:lang w:val="en-GB" w:eastAsia="en-GB"/>
        </w:rPr>
        <w:t xml:space="preserve">this </w:t>
      </w:r>
      <w:proofErr w:type="gramStart"/>
      <w:r>
        <w:rPr>
          <w:rFonts w:ascii="Calibri" w:eastAsia="Times New Roman" w:hAnsi="Calibri" w:cs="Calibri"/>
          <w:sz w:val="22"/>
          <w:szCs w:val="22"/>
          <w:lang w:val="en-GB" w:eastAsia="en-GB"/>
        </w:rPr>
        <w:t>culture, and</w:t>
      </w:r>
      <w:proofErr w:type="gramEnd"/>
      <w:r>
        <w:rPr>
          <w:rFonts w:ascii="Calibri" w:eastAsia="Times New Roman" w:hAnsi="Calibri" w:cs="Calibri"/>
          <w:sz w:val="22"/>
          <w:szCs w:val="22"/>
          <w:lang w:val="en-GB" w:eastAsia="en-GB"/>
        </w:rPr>
        <w:t xml:space="preserve"> has created the impression of a</w:t>
      </w:r>
      <w:r w:rsidR="009D16F5">
        <w:rPr>
          <w:rFonts w:ascii="Calibri" w:eastAsia="Times New Roman" w:hAnsi="Calibri" w:cs="Calibri"/>
          <w:sz w:val="22"/>
          <w:szCs w:val="22"/>
          <w:lang w:val="en-GB" w:eastAsia="en-GB"/>
        </w:rPr>
        <w:t>n inadequate IHR.</w:t>
      </w:r>
      <w:r w:rsidR="002A547D" w:rsidRPr="002A547D">
        <w:rPr>
          <w:rFonts w:ascii="Calibri" w:eastAsia="Times New Roman" w:hAnsi="Calibri" w:cs="Calibri"/>
          <w:sz w:val="22"/>
          <w:szCs w:val="22"/>
          <w:lang w:val="en-GB" w:eastAsia="en-GB"/>
        </w:rPr>
        <w:t xml:space="preserve"> After declaring the H1N1 PHEIC, the Director-General failed to use the term ‘temporary recommendations’ when issuing recommendations pursuant to Article 15 of the IHR. This was rightly criticised by the Review Committee, which noted that the term was important as it carried/carries ‘specific legal implications.’</w:t>
      </w:r>
      <w:r w:rsidR="002A547D" w:rsidRPr="002A547D">
        <w:rPr>
          <w:rFonts w:ascii="Calibri" w:eastAsia="Times New Roman" w:hAnsi="Calibri" w:cs="Calibri"/>
          <w:sz w:val="22"/>
          <w:szCs w:val="22"/>
          <w:vertAlign w:val="superscript"/>
          <w:lang w:val="en-GB" w:eastAsia="en-GB"/>
        </w:rPr>
        <w:footnoteReference w:id="29"/>
      </w:r>
      <w:r w:rsidR="002A547D" w:rsidRPr="002A547D">
        <w:rPr>
          <w:rFonts w:ascii="Calibri" w:eastAsia="Times New Roman" w:hAnsi="Calibri" w:cs="Calibri"/>
          <w:sz w:val="22"/>
          <w:szCs w:val="22"/>
          <w:lang w:val="en-GB" w:eastAsia="en-GB"/>
        </w:rPr>
        <w:t xml:space="preserve"> This is just one example, although admittedly a minor one, of the WHO Secretariat failing to utilise the IHR framework in its interactions with States Parties. Express use of the IHR terminology would serve as a reminder of the legally binding agreement and could increase pressure to comply.</w:t>
      </w:r>
    </w:p>
    <w:p w14:paraId="4F043C1A" w14:textId="77777777" w:rsidR="00432E66" w:rsidRDefault="00432E66" w:rsidP="00432E66">
      <w:pPr>
        <w:pStyle w:val="ListParagraph"/>
        <w:rPr>
          <w:rFonts w:ascii="Calibri" w:eastAsia="Times New Roman" w:hAnsi="Calibri" w:cs="Calibri"/>
          <w:sz w:val="22"/>
          <w:szCs w:val="22"/>
          <w:lang w:val="en-GB" w:eastAsia="en-GB"/>
        </w:rPr>
      </w:pPr>
    </w:p>
    <w:p w14:paraId="03334E34" w14:textId="624BD0B1" w:rsidR="009C1EDE" w:rsidRPr="009C1EDE" w:rsidRDefault="009D16F5" w:rsidP="009C1EDE">
      <w:pPr>
        <w:numPr>
          <w:ilvl w:val="0"/>
          <w:numId w:val="30"/>
        </w:numPr>
        <w:spacing w:line="360" w:lineRule="auto"/>
        <w:ind w:left="360" w:firstLine="0"/>
        <w:jc w:val="both"/>
        <w:textAlignment w:val="baseline"/>
        <w:rPr>
          <w:rFonts w:ascii="Calibri" w:eastAsia="Times New Roman" w:hAnsi="Calibri" w:cs="Calibri"/>
          <w:sz w:val="22"/>
          <w:szCs w:val="22"/>
          <w:lang w:val="en-US" w:eastAsia="en-GB"/>
        </w:rPr>
      </w:pPr>
      <w:r w:rsidRPr="00432E66">
        <w:rPr>
          <w:rFonts w:ascii="Calibri" w:eastAsia="Times New Roman" w:hAnsi="Calibri" w:cs="Calibri"/>
          <w:sz w:val="22"/>
          <w:szCs w:val="22"/>
          <w:lang w:val="en-GB" w:eastAsia="en-GB"/>
        </w:rPr>
        <w:t>It was</w:t>
      </w:r>
      <w:r w:rsidR="002A547D" w:rsidRPr="002A547D">
        <w:rPr>
          <w:rFonts w:ascii="Calibri" w:eastAsia="Times New Roman" w:hAnsi="Calibri" w:cs="Calibri"/>
          <w:sz w:val="22"/>
          <w:szCs w:val="22"/>
          <w:lang w:val="en-GB" w:eastAsia="en-GB"/>
        </w:rPr>
        <w:t xml:space="preserve"> anticipated that States Parties would comply with the IHR out of fear of being ‘named and shamed’</w:t>
      </w:r>
      <w:r w:rsidR="009A5B8E">
        <w:rPr>
          <w:rStyle w:val="FootnoteReference"/>
          <w:rFonts w:ascii="Calibri" w:eastAsia="Times New Roman" w:hAnsi="Calibri" w:cs="Calibri"/>
          <w:sz w:val="22"/>
          <w:szCs w:val="22"/>
          <w:lang w:val="en-GB" w:eastAsia="en-GB"/>
        </w:rPr>
        <w:footnoteReference w:id="30"/>
      </w:r>
      <w:r w:rsidR="002A547D" w:rsidRPr="002A547D">
        <w:rPr>
          <w:rFonts w:ascii="Calibri" w:eastAsia="Times New Roman" w:hAnsi="Calibri" w:cs="Calibri"/>
          <w:sz w:val="22"/>
          <w:szCs w:val="22"/>
          <w:lang w:val="en-GB" w:eastAsia="en-GB"/>
        </w:rPr>
        <w:t>, but WHO has avoided do</w:t>
      </w:r>
      <w:r w:rsidR="00432E66">
        <w:rPr>
          <w:rFonts w:ascii="Calibri" w:eastAsia="Times New Roman" w:hAnsi="Calibri" w:cs="Calibri"/>
          <w:sz w:val="22"/>
          <w:szCs w:val="22"/>
          <w:lang w:val="en-GB" w:eastAsia="en-GB"/>
        </w:rPr>
        <w:t>ing this</w:t>
      </w:r>
      <w:r w:rsidR="002A547D" w:rsidRPr="002A547D">
        <w:rPr>
          <w:rFonts w:ascii="Calibri" w:eastAsia="Times New Roman" w:hAnsi="Calibri" w:cs="Calibri"/>
          <w:sz w:val="22"/>
          <w:szCs w:val="22"/>
          <w:lang w:val="en-GB" w:eastAsia="en-GB"/>
        </w:rPr>
        <w:t xml:space="preserve">. </w:t>
      </w:r>
      <w:r w:rsidR="00432E66">
        <w:rPr>
          <w:rFonts w:ascii="Calibri" w:eastAsia="Times New Roman" w:hAnsi="Calibri" w:cs="Calibri"/>
          <w:sz w:val="22"/>
          <w:szCs w:val="22"/>
          <w:lang w:val="en-GB" w:eastAsia="en-GB"/>
        </w:rPr>
        <w:t xml:space="preserve">In </w:t>
      </w:r>
      <w:r w:rsidR="000B4423">
        <w:rPr>
          <w:rFonts w:ascii="Calibri" w:eastAsia="Times New Roman" w:hAnsi="Calibri" w:cs="Calibri"/>
          <w:sz w:val="22"/>
          <w:szCs w:val="22"/>
          <w:lang w:val="en-GB" w:eastAsia="en-GB"/>
        </w:rPr>
        <w:t xml:space="preserve">its response to the COVID-19 PHEIC, </w:t>
      </w:r>
      <w:r w:rsidR="002A547D" w:rsidRPr="002A547D">
        <w:rPr>
          <w:rFonts w:ascii="Calibri" w:eastAsia="Times New Roman" w:hAnsi="Calibri" w:cs="Calibri"/>
          <w:sz w:val="22"/>
          <w:szCs w:val="22"/>
          <w:lang w:val="en-GB" w:eastAsia="en-GB"/>
        </w:rPr>
        <w:t>WHO did not publish a list of states who failed to notify the WHO of additional measures within 48-hours of implementation as required by Article 43.5. Neither did WHO publicly exercise its Article 43.4 power to request that any States Parties ‘reconsider’ their additional measures.</w:t>
      </w:r>
      <w:r w:rsidR="002A547D" w:rsidRPr="002A547D">
        <w:rPr>
          <w:rFonts w:ascii="Calibri" w:eastAsia="Times New Roman" w:hAnsi="Calibri" w:cs="Calibri"/>
          <w:sz w:val="22"/>
          <w:szCs w:val="22"/>
          <w:vertAlign w:val="superscript"/>
          <w:lang w:val="en-GB" w:eastAsia="en-GB"/>
        </w:rPr>
        <w:footnoteReference w:id="31"/>
      </w:r>
      <w:r w:rsidR="002A547D" w:rsidRPr="002A547D">
        <w:rPr>
          <w:rFonts w:ascii="Calibri" w:eastAsia="Times New Roman" w:hAnsi="Calibri" w:cs="Calibri"/>
          <w:sz w:val="22"/>
          <w:szCs w:val="22"/>
          <w:lang w:val="en-GB" w:eastAsia="en-GB"/>
        </w:rPr>
        <w:t xml:space="preserve"> In fact, WHO appears to have tacitly accepted obviously inadequate justifications for additional measures. In its 28 February 2020 Situation Report, the WHO simply stated that the ‘public health rationale for </w:t>
      </w:r>
      <w:r w:rsidR="002A547D" w:rsidRPr="002A547D">
        <w:rPr>
          <w:rFonts w:ascii="Calibri" w:eastAsia="Times New Roman" w:hAnsi="Calibri" w:cs="Calibri"/>
          <w:sz w:val="22"/>
          <w:szCs w:val="22"/>
          <w:lang w:val="en-GB" w:eastAsia="en-GB"/>
        </w:rPr>
        <w:lastRenderedPageBreak/>
        <w:t>these additional measures is mainly linked to vulnerabilities […] and the uncertainties about the virus transmission and disease severity.’</w:t>
      </w:r>
      <w:r w:rsidR="00C93289">
        <w:rPr>
          <w:rStyle w:val="FootnoteReference"/>
          <w:rFonts w:ascii="Calibri" w:eastAsia="Times New Roman" w:hAnsi="Calibri" w:cs="Calibri"/>
          <w:sz w:val="22"/>
          <w:szCs w:val="22"/>
          <w:lang w:val="en-GB" w:eastAsia="en-GB"/>
        </w:rPr>
        <w:footnoteReference w:id="32"/>
      </w:r>
      <w:r w:rsidR="002A547D" w:rsidRPr="002A547D">
        <w:rPr>
          <w:rFonts w:ascii="Calibri" w:eastAsia="Times New Roman" w:hAnsi="Calibri" w:cs="Calibri"/>
          <w:sz w:val="22"/>
          <w:szCs w:val="22"/>
          <w:lang w:val="en-GB" w:eastAsia="en-GB"/>
        </w:rPr>
        <w:t xml:space="preserve"> The IHR 2005 was specifically designed to apply to a broad range of public health crises, rather than be limited to known and defined diseases like its 1969 predecessor. Unlike the 1969 IHR, the 2005 IHR presupposes its application to previously unknown diseases. Therefore, accepting uncertainties about the disease as a justification for disproportionate trade and travel restrictions undermines the entire purpose of the IHR.  This justification could be invoked by States Parties with respect to many PHEICs, </w:t>
      </w:r>
      <w:r w:rsidR="00EC0424">
        <w:rPr>
          <w:rFonts w:ascii="Calibri" w:eastAsia="Times New Roman" w:hAnsi="Calibri" w:cs="Calibri"/>
          <w:sz w:val="22"/>
          <w:szCs w:val="22"/>
          <w:lang w:val="en-GB" w:eastAsia="en-GB"/>
        </w:rPr>
        <w:t>eroding</w:t>
      </w:r>
      <w:r w:rsidR="002A547D" w:rsidRPr="002A547D">
        <w:rPr>
          <w:rFonts w:ascii="Calibri" w:eastAsia="Times New Roman" w:hAnsi="Calibri" w:cs="Calibri"/>
          <w:sz w:val="22"/>
          <w:szCs w:val="22"/>
          <w:lang w:val="en-GB" w:eastAsia="en-GB"/>
        </w:rPr>
        <w:t xml:space="preserve"> </w:t>
      </w:r>
      <w:r w:rsidR="00EC0424">
        <w:rPr>
          <w:rFonts w:ascii="Calibri" w:eastAsia="Times New Roman" w:hAnsi="Calibri" w:cs="Calibri"/>
          <w:sz w:val="22"/>
          <w:szCs w:val="22"/>
          <w:lang w:val="en-GB" w:eastAsia="en-GB"/>
        </w:rPr>
        <w:t>any</w:t>
      </w:r>
      <w:r w:rsidR="002A547D" w:rsidRPr="002A547D">
        <w:rPr>
          <w:rFonts w:ascii="Calibri" w:eastAsia="Times New Roman" w:hAnsi="Calibri" w:cs="Calibri"/>
          <w:sz w:val="22"/>
          <w:szCs w:val="22"/>
          <w:lang w:val="en-GB" w:eastAsia="en-GB"/>
        </w:rPr>
        <w:t xml:space="preserve"> protection against unnecessary border restrictions</w:t>
      </w:r>
      <w:r w:rsidR="00EC0424">
        <w:rPr>
          <w:rFonts w:ascii="Calibri" w:eastAsia="Times New Roman" w:hAnsi="Calibri" w:cs="Calibri"/>
          <w:sz w:val="22"/>
          <w:szCs w:val="22"/>
          <w:lang w:val="en-GB" w:eastAsia="en-GB"/>
        </w:rPr>
        <w:t>.</w:t>
      </w:r>
    </w:p>
    <w:p w14:paraId="1192122A" w14:textId="77777777" w:rsidR="009C1EDE" w:rsidRDefault="009C1EDE" w:rsidP="009C1EDE">
      <w:pPr>
        <w:spacing w:line="360" w:lineRule="auto"/>
        <w:ind w:left="360"/>
        <w:jc w:val="both"/>
        <w:textAlignment w:val="baseline"/>
        <w:rPr>
          <w:rFonts w:ascii="Calibri" w:eastAsia="Times New Roman" w:hAnsi="Calibri" w:cs="Calibri"/>
          <w:sz w:val="22"/>
          <w:szCs w:val="22"/>
          <w:lang w:val="en-US" w:eastAsia="en-GB"/>
        </w:rPr>
      </w:pPr>
    </w:p>
    <w:p w14:paraId="719CF6BB" w14:textId="77777777" w:rsidR="00FA187F" w:rsidRPr="00FA187F" w:rsidRDefault="002A547D" w:rsidP="00FA187F">
      <w:pPr>
        <w:numPr>
          <w:ilvl w:val="0"/>
          <w:numId w:val="30"/>
        </w:numPr>
        <w:spacing w:line="360" w:lineRule="auto"/>
        <w:ind w:left="360" w:firstLine="0"/>
        <w:jc w:val="both"/>
        <w:textAlignment w:val="baseline"/>
        <w:rPr>
          <w:rFonts w:ascii="Calibri" w:eastAsia="Times New Roman" w:hAnsi="Calibri" w:cs="Calibri"/>
          <w:sz w:val="22"/>
          <w:szCs w:val="22"/>
          <w:lang w:val="en-US" w:eastAsia="en-GB"/>
        </w:rPr>
      </w:pPr>
      <w:r w:rsidRPr="002A547D">
        <w:rPr>
          <w:rFonts w:ascii="Calibri" w:eastAsia="Times New Roman" w:hAnsi="Calibri" w:cs="Calibri"/>
          <w:sz w:val="22"/>
          <w:szCs w:val="22"/>
          <w:lang w:val="en-GB" w:eastAsia="en-GB"/>
        </w:rPr>
        <w:t>The WHO was not always so reluctant to mobilise the law to its advantage</w:t>
      </w:r>
      <w:r w:rsidR="000B2C43">
        <w:rPr>
          <w:rFonts w:ascii="Calibri" w:eastAsia="Times New Roman" w:hAnsi="Calibri" w:cs="Calibri"/>
          <w:sz w:val="22"/>
          <w:szCs w:val="22"/>
          <w:lang w:val="en-GB" w:eastAsia="en-GB"/>
        </w:rPr>
        <w:t xml:space="preserve">. </w:t>
      </w:r>
      <w:r w:rsidRPr="002A547D">
        <w:rPr>
          <w:rFonts w:ascii="Calibri" w:eastAsia="Times New Roman" w:hAnsi="Calibri" w:cs="Calibri"/>
          <w:sz w:val="22"/>
          <w:szCs w:val="22"/>
          <w:lang w:val="en-GB" w:eastAsia="en-GB"/>
        </w:rPr>
        <w:t xml:space="preserve">WHO declared that the requirement for AIDS-free certificates introduced by several member states were in violation of the IHR; a </w:t>
      </w:r>
      <w:r w:rsidR="007364EE">
        <w:rPr>
          <w:rFonts w:ascii="Calibri" w:eastAsia="Times New Roman" w:hAnsi="Calibri" w:cs="Calibri"/>
          <w:sz w:val="22"/>
          <w:szCs w:val="22"/>
          <w:lang w:val="en-GB" w:eastAsia="en-GB"/>
        </w:rPr>
        <w:t>bold</w:t>
      </w:r>
      <w:r w:rsidRPr="002A547D">
        <w:rPr>
          <w:rFonts w:ascii="Calibri" w:eastAsia="Times New Roman" w:hAnsi="Calibri" w:cs="Calibri"/>
          <w:sz w:val="22"/>
          <w:szCs w:val="22"/>
          <w:lang w:val="en-GB" w:eastAsia="en-GB"/>
        </w:rPr>
        <w:t xml:space="preserve"> use of the IHR given that AIDS was </w:t>
      </w:r>
      <w:r w:rsidR="007364EE">
        <w:rPr>
          <w:rFonts w:ascii="Calibri" w:eastAsia="Times New Roman" w:hAnsi="Calibri" w:cs="Calibri"/>
          <w:sz w:val="22"/>
          <w:szCs w:val="22"/>
          <w:lang w:val="en-GB" w:eastAsia="en-GB"/>
        </w:rPr>
        <w:t xml:space="preserve">clearly </w:t>
      </w:r>
      <w:r w:rsidRPr="002A547D">
        <w:rPr>
          <w:rFonts w:ascii="Calibri" w:eastAsia="Times New Roman" w:hAnsi="Calibri" w:cs="Calibri"/>
          <w:sz w:val="22"/>
          <w:szCs w:val="22"/>
          <w:lang w:val="en-GB" w:eastAsia="en-GB"/>
        </w:rPr>
        <w:t>not one of the diseases to which the IHR 1969 applied.</w:t>
      </w:r>
      <w:r w:rsidRPr="002A547D">
        <w:rPr>
          <w:rFonts w:ascii="Calibri" w:eastAsia="Times New Roman" w:hAnsi="Calibri" w:cs="Calibri"/>
          <w:sz w:val="22"/>
          <w:szCs w:val="22"/>
          <w:vertAlign w:val="superscript"/>
          <w:lang w:val="en-GB" w:eastAsia="en-GB"/>
        </w:rPr>
        <w:footnoteReference w:id="33"/>
      </w:r>
      <w:r w:rsidRPr="002A547D">
        <w:rPr>
          <w:rFonts w:ascii="Calibri" w:eastAsia="Times New Roman" w:hAnsi="Calibri" w:cs="Calibri"/>
          <w:sz w:val="22"/>
          <w:szCs w:val="22"/>
          <w:lang w:val="en-GB" w:eastAsia="en-GB"/>
        </w:rPr>
        <w:t xml:space="preserve"> It is p</w:t>
      </w:r>
      <w:r w:rsidR="00192035">
        <w:rPr>
          <w:rFonts w:ascii="Calibri" w:eastAsia="Times New Roman" w:hAnsi="Calibri" w:cs="Calibri"/>
          <w:sz w:val="22"/>
          <w:szCs w:val="22"/>
          <w:lang w:val="en-GB" w:eastAsia="en-GB"/>
        </w:rPr>
        <w:t xml:space="preserve">erhaps WHO’s desire to </w:t>
      </w:r>
      <w:r w:rsidR="00953AD4">
        <w:rPr>
          <w:rFonts w:ascii="Calibri" w:eastAsia="Times New Roman" w:hAnsi="Calibri" w:cs="Calibri"/>
          <w:sz w:val="22"/>
          <w:szCs w:val="22"/>
          <w:lang w:val="en-GB" w:eastAsia="en-GB"/>
        </w:rPr>
        <w:t>uphold their identity as a neutral, science-driven organisation</w:t>
      </w:r>
      <w:r w:rsidR="00D82E0C">
        <w:rPr>
          <w:rFonts w:ascii="Calibri" w:eastAsia="Times New Roman" w:hAnsi="Calibri" w:cs="Calibri"/>
          <w:sz w:val="22"/>
          <w:szCs w:val="22"/>
          <w:lang w:val="en-GB" w:eastAsia="en-GB"/>
        </w:rPr>
        <w:t xml:space="preserve"> that has caused the Secretariat to </w:t>
      </w:r>
      <w:r w:rsidR="007A20D7">
        <w:rPr>
          <w:rFonts w:ascii="Calibri" w:eastAsia="Times New Roman" w:hAnsi="Calibri" w:cs="Calibri"/>
          <w:sz w:val="22"/>
          <w:szCs w:val="22"/>
          <w:lang w:val="en-GB" w:eastAsia="en-GB"/>
        </w:rPr>
        <w:t>avoid ‘naming and shaming’.</w:t>
      </w:r>
      <w:r w:rsidR="00E41B78">
        <w:rPr>
          <w:rFonts w:ascii="Calibri" w:eastAsia="Times New Roman" w:hAnsi="Calibri" w:cs="Calibri"/>
          <w:sz w:val="22"/>
          <w:szCs w:val="22"/>
          <w:lang w:val="en-GB" w:eastAsia="en-GB"/>
        </w:rPr>
        <w:t xml:space="preserve"> WHO’s failure to</w:t>
      </w:r>
      <w:r w:rsidR="00843752">
        <w:rPr>
          <w:rFonts w:ascii="Calibri" w:eastAsia="Times New Roman" w:hAnsi="Calibri" w:cs="Calibri"/>
          <w:sz w:val="22"/>
          <w:szCs w:val="22"/>
          <w:lang w:val="en-GB" w:eastAsia="en-GB"/>
        </w:rPr>
        <w:t xml:space="preserve"> utilise the IHR to its full potential means it would be</w:t>
      </w:r>
      <w:r w:rsidR="00E41B78">
        <w:rPr>
          <w:rFonts w:ascii="Calibri" w:eastAsia="Times New Roman" w:hAnsi="Calibri" w:cs="Calibri"/>
          <w:sz w:val="22"/>
          <w:szCs w:val="22"/>
          <w:lang w:val="en-GB" w:eastAsia="en-GB"/>
        </w:rPr>
        <w:t xml:space="preserve"> unfair</w:t>
      </w:r>
      <w:r w:rsidR="00E41B78" w:rsidRPr="002A547D">
        <w:rPr>
          <w:rFonts w:ascii="Calibri" w:eastAsia="Times New Roman" w:hAnsi="Calibri" w:cs="Calibri"/>
          <w:sz w:val="22"/>
          <w:szCs w:val="22"/>
          <w:lang w:val="en-GB" w:eastAsia="en-GB"/>
        </w:rPr>
        <w:t xml:space="preserve"> to </w:t>
      </w:r>
      <w:r w:rsidR="00E41B78">
        <w:rPr>
          <w:rFonts w:ascii="Calibri" w:eastAsia="Times New Roman" w:hAnsi="Calibri" w:cs="Calibri"/>
          <w:sz w:val="22"/>
          <w:szCs w:val="22"/>
          <w:lang w:val="en-GB" w:eastAsia="en-GB"/>
        </w:rPr>
        <w:t>dismiss</w:t>
      </w:r>
      <w:r w:rsidR="00E41B78" w:rsidRPr="002A547D">
        <w:rPr>
          <w:rFonts w:ascii="Calibri" w:eastAsia="Times New Roman" w:hAnsi="Calibri" w:cs="Calibri"/>
          <w:sz w:val="22"/>
          <w:szCs w:val="22"/>
          <w:lang w:val="en-GB" w:eastAsia="en-GB"/>
        </w:rPr>
        <w:t xml:space="preserve"> the IHR </w:t>
      </w:r>
      <w:r w:rsidR="00E41B78">
        <w:rPr>
          <w:rFonts w:ascii="Calibri" w:eastAsia="Times New Roman" w:hAnsi="Calibri" w:cs="Calibri"/>
          <w:sz w:val="22"/>
          <w:szCs w:val="22"/>
          <w:lang w:val="en-GB" w:eastAsia="en-GB"/>
        </w:rPr>
        <w:t>as</w:t>
      </w:r>
      <w:r w:rsidR="00E41B78" w:rsidRPr="002A547D">
        <w:rPr>
          <w:rFonts w:ascii="Calibri" w:eastAsia="Times New Roman" w:hAnsi="Calibri" w:cs="Calibri"/>
          <w:sz w:val="22"/>
          <w:szCs w:val="22"/>
          <w:lang w:val="en-GB" w:eastAsia="en-GB"/>
        </w:rPr>
        <w:t xml:space="preserve"> unfit for purpose</w:t>
      </w:r>
      <w:r w:rsidR="00FA187F">
        <w:rPr>
          <w:rFonts w:ascii="Calibri" w:eastAsia="Times New Roman" w:hAnsi="Calibri" w:cs="Calibri"/>
          <w:sz w:val="22"/>
          <w:szCs w:val="22"/>
          <w:lang w:val="en-GB" w:eastAsia="en-GB"/>
        </w:rPr>
        <w:t>.</w:t>
      </w:r>
    </w:p>
    <w:p w14:paraId="2DB253F4" w14:textId="77777777" w:rsidR="00FA187F" w:rsidRDefault="00FA187F" w:rsidP="00FA187F">
      <w:pPr>
        <w:pStyle w:val="ListParagraph"/>
        <w:rPr>
          <w:rFonts w:ascii="Calibri" w:eastAsia="Times New Roman" w:hAnsi="Calibri" w:cs="Calibri"/>
          <w:sz w:val="22"/>
          <w:szCs w:val="22"/>
          <w:lang w:val="en-US" w:eastAsia="en-GB"/>
        </w:rPr>
      </w:pPr>
    </w:p>
    <w:p w14:paraId="0D49BEEA" w14:textId="73DACA67" w:rsidR="009B64F1" w:rsidRPr="008B0CBC" w:rsidRDefault="00531BDE" w:rsidP="00463277">
      <w:pPr>
        <w:numPr>
          <w:ilvl w:val="0"/>
          <w:numId w:val="30"/>
        </w:numPr>
        <w:spacing w:line="360" w:lineRule="auto"/>
        <w:ind w:left="360" w:firstLine="0"/>
        <w:jc w:val="both"/>
        <w:textAlignment w:val="baseline"/>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 xml:space="preserve">While the IHR 2005 may not have delivered on its promise of global health security, </w:t>
      </w:r>
      <w:r w:rsidR="00057E7A">
        <w:rPr>
          <w:rFonts w:ascii="Calibri" w:eastAsia="Times New Roman" w:hAnsi="Calibri" w:cs="Calibri"/>
          <w:sz w:val="22"/>
          <w:szCs w:val="22"/>
          <w:lang w:val="en-US" w:eastAsia="en-GB"/>
        </w:rPr>
        <w:t xml:space="preserve">that does not mean that it is unfit for purpose. </w:t>
      </w:r>
      <w:r w:rsidR="00077373">
        <w:rPr>
          <w:rFonts w:ascii="Calibri" w:eastAsia="Times New Roman" w:hAnsi="Calibri" w:cs="Calibri"/>
          <w:sz w:val="22"/>
          <w:szCs w:val="22"/>
          <w:lang w:val="en-US" w:eastAsia="en-GB"/>
        </w:rPr>
        <w:t xml:space="preserve">The revolutionary strategy of the IHR was never fully implemented by the States Parties or by the WHO Secretariat. </w:t>
      </w:r>
      <w:r w:rsidR="00FA399A" w:rsidRPr="00FA187F">
        <w:rPr>
          <w:rFonts w:ascii="Calibri" w:eastAsia="Times New Roman" w:hAnsi="Calibri" w:cs="Calibri"/>
          <w:sz w:val="22"/>
          <w:szCs w:val="22"/>
          <w:lang w:val="en-US" w:eastAsia="en-GB"/>
        </w:rPr>
        <w:t xml:space="preserve">Whether </w:t>
      </w:r>
      <w:r w:rsidR="008F6FA0" w:rsidRPr="00FA187F">
        <w:rPr>
          <w:rFonts w:ascii="Calibri" w:eastAsia="Times New Roman" w:hAnsi="Calibri" w:cs="Calibri"/>
          <w:sz w:val="22"/>
          <w:szCs w:val="22"/>
          <w:lang w:val="en-US" w:eastAsia="en-GB"/>
        </w:rPr>
        <w:t>COVID-19 will be the ‘political shock’</w:t>
      </w:r>
      <w:r w:rsidR="001A0313" w:rsidRPr="00FA187F">
        <w:rPr>
          <w:rFonts w:ascii="Calibri" w:eastAsia="Times New Roman" w:hAnsi="Calibri" w:cs="Calibri"/>
          <w:sz w:val="22"/>
          <w:szCs w:val="22"/>
          <w:lang w:val="en-US" w:eastAsia="en-GB"/>
        </w:rPr>
        <w:t xml:space="preserve"> that sparks </w:t>
      </w:r>
      <w:r w:rsidR="00BA7502" w:rsidRPr="00FA187F">
        <w:rPr>
          <w:rFonts w:ascii="Calibri" w:eastAsia="Times New Roman" w:hAnsi="Calibri" w:cs="Calibri"/>
          <w:sz w:val="22"/>
          <w:szCs w:val="22"/>
          <w:lang w:val="en-US" w:eastAsia="en-GB"/>
        </w:rPr>
        <w:t xml:space="preserve">an amendment of the IHR to include </w:t>
      </w:r>
      <w:r w:rsidR="00386F22" w:rsidRPr="00FA187F">
        <w:rPr>
          <w:rFonts w:ascii="Calibri" w:eastAsia="Times New Roman" w:hAnsi="Calibri" w:cs="Calibri"/>
          <w:sz w:val="22"/>
          <w:szCs w:val="22"/>
          <w:lang w:val="en-US" w:eastAsia="en-GB"/>
        </w:rPr>
        <w:t>accountability mechanisms remains to be seen. Much depends on</w:t>
      </w:r>
      <w:r w:rsidR="00BB1C65" w:rsidRPr="00FA187F">
        <w:rPr>
          <w:rFonts w:ascii="Calibri" w:eastAsia="Times New Roman" w:hAnsi="Calibri" w:cs="Calibri"/>
          <w:sz w:val="22"/>
          <w:szCs w:val="22"/>
          <w:lang w:val="en-US" w:eastAsia="en-GB"/>
        </w:rPr>
        <w:t xml:space="preserve"> how the rest of the pandemic unfolds</w:t>
      </w:r>
      <w:r w:rsidR="00D21952" w:rsidRPr="00FA187F">
        <w:rPr>
          <w:rFonts w:ascii="Calibri" w:eastAsia="Times New Roman" w:hAnsi="Calibri" w:cs="Calibri"/>
          <w:sz w:val="22"/>
          <w:szCs w:val="22"/>
          <w:lang w:val="en-US" w:eastAsia="en-GB"/>
        </w:rPr>
        <w:t xml:space="preserve">, but </w:t>
      </w:r>
      <w:r w:rsidR="002A2092" w:rsidRPr="00FA187F">
        <w:rPr>
          <w:rFonts w:ascii="Calibri" w:eastAsia="Times New Roman" w:hAnsi="Calibri" w:cs="Calibri"/>
          <w:sz w:val="22"/>
          <w:szCs w:val="22"/>
          <w:lang w:val="en-US" w:eastAsia="en-GB"/>
        </w:rPr>
        <w:t xml:space="preserve">the fact that </w:t>
      </w:r>
      <w:r w:rsidR="00DD4DC9" w:rsidRPr="00FA187F">
        <w:rPr>
          <w:rFonts w:ascii="Calibri" w:eastAsia="Times New Roman" w:hAnsi="Calibri" w:cs="Calibri"/>
          <w:sz w:val="22"/>
          <w:szCs w:val="22"/>
          <w:lang w:val="en-US" w:eastAsia="en-GB"/>
        </w:rPr>
        <w:t>some of the</w:t>
      </w:r>
      <w:r w:rsidR="008F6EB6" w:rsidRPr="00FA187F">
        <w:rPr>
          <w:rFonts w:ascii="Calibri" w:eastAsia="Times New Roman" w:hAnsi="Calibri" w:cs="Calibri"/>
          <w:sz w:val="22"/>
          <w:szCs w:val="22"/>
          <w:lang w:val="en-US" w:eastAsia="en-GB"/>
        </w:rPr>
        <w:t xml:space="preserve"> states who </w:t>
      </w:r>
      <w:r w:rsidR="00526A52" w:rsidRPr="00FA187F">
        <w:rPr>
          <w:rFonts w:ascii="Calibri" w:eastAsia="Times New Roman" w:hAnsi="Calibri" w:cs="Calibri"/>
          <w:sz w:val="22"/>
          <w:szCs w:val="22"/>
          <w:lang w:val="en-US" w:eastAsia="en-GB"/>
        </w:rPr>
        <w:t>have been</w:t>
      </w:r>
      <w:r w:rsidR="008F6EB6" w:rsidRPr="00FA187F">
        <w:rPr>
          <w:rFonts w:ascii="Calibri" w:eastAsia="Times New Roman" w:hAnsi="Calibri" w:cs="Calibri"/>
          <w:sz w:val="22"/>
          <w:szCs w:val="22"/>
          <w:lang w:val="en-US" w:eastAsia="en-GB"/>
        </w:rPr>
        <w:t xml:space="preserve"> most successful in </w:t>
      </w:r>
      <w:r w:rsidR="00DD4DC9" w:rsidRPr="00FA187F">
        <w:rPr>
          <w:rFonts w:ascii="Calibri" w:eastAsia="Times New Roman" w:hAnsi="Calibri" w:cs="Calibri"/>
          <w:sz w:val="22"/>
          <w:szCs w:val="22"/>
          <w:lang w:val="en-US" w:eastAsia="en-GB"/>
        </w:rPr>
        <w:t>controlling the virus (</w:t>
      </w:r>
      <w:r w:rsidR="00BD6B92" w:rsidRPr="00FA187F">
        <w:rPr>
          <w:rFonts w:ascii="Calibri" w:eastAsia="Times New Roman" w:hAnsi="Calibri" w:cs="Calibri"/>
          <w:sz w:val="22"/>
          <w:szCs w:val="22"/>
          <w:lang w:val="en-US" w:eastAsia="en-GB"/>
        </w:rPr>
        <w:t xml:space="preserve">Taiwan, </w:t>
      </w:r>
      <w:r w:rsidR="00EF3B6A" w:rsidRPr="00FA187F">
        <w:rPr>
          <w:rFonts w:ascii="Calibri" w:eastAsia="Times New Roman" w:hAnsi="Calibri" w:cs="Calibri"/>
          <w:sz w:val="22"/>
          <w:szCs w:val="22"/>
          <w:lang w:val="en-US" w:eastAsia="en-GB"/>
        </w:rPr>
        <w:t xml:space="preserve">Singapore, </w:t>
      </w:r>
      <w:r w:rsidR="00DD4DC9" w:rsidRPr="00FA187F">
        <w:rPr>
          <w:rFonts w:ascii="Calibri" w:eastAsia="Times New Roman" w:hAnsi="Calibri" w:cs="Calibri"/>
          <w:sz w:val="22"/>
          <w:szCs w:val="22"/>
          <w:lang w:val="en-US" w:eastAsia="en-GB"/>
        </w:rPr>
        <w:t>New Zealand</w:t>
      </w:r>
      <w:r w:rsidR="00526A52" w:rsidRPr="00FA187F">
        <w:rPr>
          <w:rFonts w:ascii="Calibri" w:eastAsia="Times New Roman" w:hAnsi="Calibri" w:cs="Calibri"/>
          <w:sz w:val="22"/>
          <w:szCs w:val="22"/>
          <w:lang w:val="en-US" w:eastAsia="en-GB"/>
        </w:rPr>
        <w:t xml:space="preserve"> and</w:t>
      </w:r>
      <w:r w:rsidR="00DD4DC9" w:rsidRPr="00FA187F">
        <w:rPr>
          <w:rFonts w:ascii="Calibri" w:eastAsia="Times New Roman" w:hAnsi="Calibri" w:cs="Calibri"/>
          <w:sz w:val="22"/>
          <w:szCs w:val="22"/>
          <w:lang w:val="en-US" w:eastAsia="en-GB"/>
        </w:rPr>
        <w:t xml:space="preserve"> Australia)</w:t>
      </w:r>
      <w:r w:rsidR="00025D01" w:rsidRPr="00FA187F">
        <w:rPr>
          <w:rFonts w:ascii="Calibri" w:eastAsia="Times New Roman" w:hAnsi="Calibri" w:cs="Calibri"/>
          <w:sz w:val="22"/>
          <w:szCs w:val="22"/>
          <w:lang w:val="en-US" w:eastAsia="en-GB"/>
        </w:rPr>
        <w:t xml:space="preserve"> were also those who were quickest to close their borders </w:t>
      </w:r>
      <w:r w:rsidR="004B0CD6" w:rsidRPr="00FA187F">
        <w:rPr>
          <w:rFonts w:ascii="Calibri" w:eastAsia="Times New Roman" w:hAnsi="Calibri" w:cs="Calibri"/>
          <w:sz w:val="22"/>
          <w:szCs w:val="22"/>
          <w:lang w:val="en-US" w:eastAsia="en-GB"/>
        </w:rPr>
        <w:t>makes it unlikely that</w:t>
      </w:r>
      <w:r w:rsidR="008B0CBC">
        <w:rPr>
          <w:rFonts w:ascii="Calibri" w:eastAsia="Times New Roman" w:hAnsi="Calibri" w:cs="Calibri"/>
          <w:sz w:val="22"/>
          <w:szCs w:val="22"/>
          <w:lang w:val="en-US" w:eastAsia="en-GB"/>
        </w:rPr>
        <w:t xml:space="preserve"> such self-interested measures will be abandoned in the future. </w:t>
      </w:r>
    </w:p>
    <w:sectPr w:rsidR="009B64F1" w:rsidRPr="008B0CBC">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D15D4" w14:textId="77777777" w:rsidR="00441FD6" w:rsidRDefault="00441FD6" w:rsidP="000C3D9F">
      <w:r>
        <w:separator/>
      </w:r>
    </w:p>
  </w:endnote>
  <w:endnote w:type="continuationSeparator" w:id="0">
    <w:p w14:paraId="70E03030" w14:textId="77777777" w:rsidR="00441FD6" w:rsidRDefault="00441FD6" w:rsidP="000C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63898383"/>
      <w:docPartObj>
        <w:docPartGallery w:val="Page Numbers (Bottom of Page)"/>
        <w:docPartUnique/>
      </w:docPartObj>
    </w:sdtPr>
    <w:sdtEndPr>
      <w:rPr>
        <w:rStyle w:val="PageNumber"/>
      </w:rPr>
    </w:sdtEndPr>
    <w:sdtContent>
      <w:p w14:paraId="3CE74553" w14:textId="3D5FE3B9" w:rsidR="00FE0444" w:rsidRDefault="00FE0444" w:rsidP="0078350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ADAD89" w14:textId="77777777" w:rsidR="00FE0444" w:rsidRDefault="00FE0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07585371"/>
      <w:docPartObj>
        <w:docPartGallery w:val="Page Numbers (Bottom of Page)"/>
        <w:docPartUnique/>
      </w:docPartObj>
    </w:sdtPr>
    <w:sdtEndPr>
      <w:rPr>
        <w:rStyle w:val="PageNumber"/>
      </w:rPr>
    </w:sdtEndPr>
    <w:sdtContent>
      <w:p w14:paraId="6BBFB834" w14:textId="6E6FE0A8" w:rsidR="00FE0444" w:rsidRDefault="00FE0444" w:rsidP="0078350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A9D792" w14:textId="77777777" w:rsidR="00FE0444" w:rsidRDefault="00FE0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94172" w14:textId="77777777" w:rsidR="00441FD6" w:rsidRDefault="00441FD6" w:rsidP="000C3D9F">
      <w:r>
        <w:separator/>
      </w:r>
    </w:p>
  </w:footnote>
  <w:footnote w:type="continuationSeparator" w:id="0">
    <w:p w14:paraId="1636C55B" w14:textId="77777777" w:rsidR="00441FD6" w:rsidRDefault="00441FD6" w:rsidP="000C3D9F">
      <w:r>
        <w:continuationSeparator/>
      </w:r>
    </w:p>
  </w:footnote>
  <w:footnote w:id="1">
    <w:p w14:paraId="4ABDC66C" w14:textId="5CCB7613" w:rsidR="00F9343A" w:rsidRPr="00B524AE" w:rsidRDefault="00F9343A" w:rsidP="00F9343A">
      <w:pPr>
        <w:rPr>
          <w:rFonts w:ascii="Times New Roman" w:eastAsia="Times New Roman" w:hAnsi="Times New Roman" w:cs="Times New Roman"/>
          <w:sz w:val="20"/>
          <w:szCs w:val="20"/>
          <w:lang w:eastAsia="en-GB"/>
        </w:rPr>
      </w:pPr>
      <w:r w:rsidRPr="00B524AE">
        <w:rPr>
          <w:rStyle w:val="FootnoteReference"/>
          <w:sz w:val="20"/>
          <w:szCs w:val="20"/>
        </w:rPr>
        <w:footnoteRef/>
      </w:r>
      <w:r w:rsidRPr="00B524AE">
        <w:rPr>
          <w:sz w:val="20"/>
          <w:szCs w:val="20"/>
        </w:rPr>
        <w:t xml:space="preserve"> </w:t>
      </w:r>
      <w:r w:rsidR="008553C8" w:rsidRPr="00B524AE">
        <w:rPr>
          <w:rFonts w:ascii="Calibri" w:eastAsia="Times New Roman" w:hAnsi="Calibri" w:cs="Calibri"/>
          <w:color w:val="000000"/>
          <w:sz w:val="20"/>
          <w:szCs w:val="20"/>
          <w:bdr w:val="none" w:sz="0" w:space="0" w:color="auto" w:frame="1"/>
          <w:lang w:eastAsia="en-GB"/>
        </w:rPr>
        <w:t>Paul D</w:t>
      </w:r>
      <w:r w:rsidRPr="00B524AE">
        <w:rPr>
          <w:rFonts w:ascii="Calibri" w:eastAsia="Times New Roman" w:hAnsi="Calibri" w:cs="Calibri"/>
          <w:color w:val="000000"/>
          <w:sz w:val="20"/>
          <w:szCs w:val="20"/>
          <w:bdr w:val="none" w:sz="0" w:space="0" w:color="auto" w:frame="1"/>
          <w:lang w:eastAsia="en-GB"/>
        </w:rPr>
        <w:t>iehl</w:t>
      </w:r>
      <w:r w:rsidR="008553C8" w:rsidRPr="00B524AE">
        <w:rPr>
          <w:rFonts w:ascii="Calibri" w:eastAsia="Times New Roman" w:hAnsi="Calibri" w:cs="Calibri"/>
          <w:color w:val="000000"/>
          <w:sz w:val="20"/>
          <w:szCs w:val="20"/>
          <w:bdr w:val="none" w:sz="0" w:space="0" w:color="auto" w:frame="1"/>
          <w:lang w:eastAsia="en-GB"/>
        </w:rPr>
        <w:t xml:space="preserve">, Charlotte Ku and Daniel Zamora, ‘The Dynamics of International Law: The Interaction of Normative and Operating Systems’ (2003) International Organization </w:t>
      </w:r>
      <w:r w:rsidRPr="00B524AE">
        <w:rPr>
          <w:rFonts w:ascii="Calibri" w:eastAsia="Times New Roman" w:hAnsi="Calibri" w:cs="Calibri"/>
          <w:color w:val="000000"/>
          <w:sz w:val="20"/>
          <w:szCs w:val="20"/>
          <w:bdr w:val="none" w:sz="0" w:space="0" w:color="auto" w:frame="1"/>
          <w:lang w:eastAsia="en-GB"/>
        </w:rPr>
        <w:t>157</w:t>
      </w:r>
      <w:r w:rsidR="00F644E9" w:rsidRPr="00B524AE">
        <w:rPr>
          <w:rFonts w:ascii="Calibri" w:eastAsia="Times New Roman" w:hAnsi="Calibri" w:cs="Calibri"/>
          <w:color w:val="000000"/>
          <w:sz w:val="20"/>
          <w:szCs w:val="20"/>
          <w:bdr w:val="none" w:sz="0" w:space="0" w:color="auto" w:frame="1"/>
          <w:lang w:eastAsia="en-GB"/>
        </w:rPr>
        <w:t>.</w:t>
      </w:r>
    </w:p>
  </w:footnote>
  <w:footnote w:id="2">
    <w:p w14:paraId="71A297EF" w14:textId="07C7D96E" w:rsidR="0048268E" w:rsidRPr="00B524AE" w:rsidRDefault="0048268E" w:rsidP="0048268E">
      <w:pPr>
        <w:rPr>
          <w:rFonts w:ascii="Times New Roman" w:eastAsia="Times New Roman" w:hAnsi="Times New Roman" w:cs="Times New Roman"/>
          <w:sz w:val="20"/>
          <w:szCs w:val="20"/>
          <w:lang w:eastAsia="en-GB"/>
        </w:rPr>
      </w:pPr>
      <w:r w:rsidRPr="00B524AE">
        <w:rPr>
          <w:rStyle w:val="FootnoteReference"/>
          <w:sz w:val="20"/>
          <w:szCs w:val="20"/>
        </w:rPr>
        <w:footnoteRef/>
      </w:r>
      <w:r w:rsidRPr="00B524AE">
        <w:rPr>
          <w:sz w:val="20"/>
          <w:szCs w:val="20"/>
        </w:rPr>
        <w:t xml:space="preserve"> </w:t>
      </w:r>
      <w:r w:rsidRPr="00B524AE">
        <w:rPr>
          <w:rFonts w:ascii="Calibri" w:eastAsia="Times New Roman" w:hAnsi="Calibri" w:cs="Calibri"/>
          <w:color w:val="000000"/>
          <w:sz w:val="20"/>
          <w:szCs w:val="20"/>
          <w:shd w:val="clear" w:color="auto" w:fill="FFFFFF"/>
          <w:lang w:eastAsia="en-GB"/>
        </w:rPr>
        <w:t>IHR 2005, Art. 2</w:t>
      </w:r>
      <w:r w:rsidR="00F644E9" w:rsidRPr="00B524AE">
        <w:rPr>
          <w:rFonts w:ascii="Calibri" w:eastAsia="Times New Roman" w:hAnsi="Calibri" w:cs="Calibri"/>
          <w:color w:val="000000"/>
          <w:sz w:val="20"/>
          <w:szCs w:val="20"/>
          <w:shd w:val="clear" w:color="auto" w:fill="FFFFFF"/>
          <w:lang w:eastAsia="en-GB"/>
        </w:rPr>
        <w:t>.</w:t>
      </w:r>
    </w:p>
  </w:footnote>
  <w:footnote w:id="3">
    <w:p w14:paraId="4FB707AF" w14:textId="75125ECB" w:rsidR="00461E14" w:rsidRPr="00B524AE" w:rsidRDefault="00461E14" w:rsidP="00461E14">
      <w:pPr>
        <w:rPr>
          <w:rFonts w:ascii="Times New Roman" w:eastAsia="Times New Roman" w:hAnsi="Times New Roman" w:cs="Times New Roman"/>
          <w:sz w:val="20"/>
          <w:szCs w:val="20"/>
          <w:lang w:eastAsia="en-GB"/>
        </w:rPr>
      </w:pPr>
      <w:r w:rsidRPr="00B524AE">
        <w:rPr>
          <w:rStyle w:val="FootnoteReference"/>
          <w:sz w:val="20"/>
          <w:szCs w:val="20"/>
        </w:rPr>
        <w:footnoteRef/>
      </w:r>
      <w:r w:rsidRPr="00B524AE">
        <w:rPr>
          <w:sz w:val="20"/>
          <w:szCs w:val="20"/>
        </w:rPr>
        <w:t xml:space="preserve"> </w:t>
      </w:r>
      <w:r w:rsidRPr="00B524AE">
        <w:rPr>
          <w:rFonts w:ascii="Calibri" w:eastAsia="Times New Roman" w:hAnsi="Calibri" w:cs="Calibri"/>
          <w:color w:val="000000"/>
          <w:sz w:val="20"/>
          <w:szCs w:val="20"/>
          <w:bdr w:val="none" w:sz="0" w:space="0" w:color="auto" w:frame="1"/>
          <w:lang w:eastAsia="en-GB"/>
        </w:rPr>
        <w:t>David P Fidler, ‘From International Sanitary Conventions to Global Health Security: The New International Health Regulations’</w:t>
      </w:r>
      <w:r w:rsidR="00131FFF" w:rsidRPr="00B524AE">
        <w:rPr>
          <w:rFonts w:ascii="Calibri" w:eastAsia="Times New Roman" w:hAnsi="Calibri" w:cs="Calibri"/>
          <w:color w:val="000000"/>
          <w:sz w:val="20"/>
          <w:szCs w:val="20"/>
          <w:bdr w:val="none" w:sz="0" w:space="0" w:color="auto" w:frame="1"/>
          <w:lang w:eastAsia="en-GB"/>
        </w:rPr>
        <w:t xml:space="preserve"> (2005) </w:t>
      </w:r>
      <w:r w:rsidRPr="00B524AE">
        <w:rPr>
          <w:rFonts w:ascii="Calibri" w:eastAsia="Times New Roman" w:hAnsi="Calibri" w:cs="Calibri"/>
          <w:color w:val="000000"/>
          <w:sz w:val="20"/>
          <w:szCs w:val="20"/>
          <w:bdr w:val="none" w:sz="0" w:space="0" w:color="auto" w:frame="1"/>
          <w:lang w:eastAsia="en-GB"/>
        </w:rPr>
        <w:t>Chinese Journal of International Law</w:t>
      </w:r>
      <w:r w:rsidR="00131FFF" w:rsidRPr="00B524AE">
        <w:rPr>
          <w:rFonts w:ascii="Calibri" w:eastAsia="Times New Roman" w:hAnsi="Calibri" w:cs="Calibri"/>
          <w:color w:val="000000"/>
          <w:sz w:val="20"/>
          <w:szCs w:val="20"/>
          <w:bdr w:val="none" w:sz="0" w:space="0" w:color="auto" w:frame="1"/>
          <w:lang w:eastAsia="en-GB"/>
        </w:rPr>
        <w:t xml:space="preserve"> 325</w:t>
      </w:r>
      <w:r w:rsidR="00F644E9" w:rsidRPr="00B524AE">
        <w:rPr>
          <w:rFonts w:ascii="Calibri" w:eastAsia="Times New Roman" w:hAnsi="Calibri" w:cs="Calibri"/>
          <w:color w:val="000000"/>
          <w:sz w:val="20"/>
          <w:szCs w:val="20"/>
          <w:bdr w:val="none" w:sz="0" w:space="0" w:color="auto" w:frame="1"/>
          <w:lang w:eastAsia="en-GB"/>
        </w:rPr>
        <w:t>.</w:t>
      </w:r>
    </w:p>
  </w:footnote>
  <w:footnote w:id="4">
    <w:p w14:paraId="22008047" w14:textId="154E39F6" w:rsidR="00FE5382" w:rsidRPr="00B524AE" w:rsidRDefault="00FE5382" w:rsidP="00461E14">
      <w:pPr>
        <w:rPr>
          <w:rFonts w:ascii="Times New Roman" w:eastAsia="Times New Roman" w:hAnsi="Times New Roman" w:cs="Times New Roman"/>
          <w:sz w:val="20"/>
          <w:szCs w:val="20"/>
          <w:lang w:eastAsia="en-GB"/>
        </w:rPr>
      </w:pPr>
      <w:r w:rsidRPr="00B524AE">
        <w:rPr>
          <w:rStyle w:val="FootnoteReference"/>
          <w:sz w:val="20"/>
          <w:szCs w:val="20"/>
        </w:rPr>
        <w:footnoteRef/>
      </w:r>
      <w:r w:rsidRPr="00B524AE">
        <w:rPr>
          <w:sz w:val="20"/>
          <w:szCs w:val="20"/>
        </w:rPr>
        <w:t xml:space="preserve"> </w:t>
      </w:r>
      <w:r w:rsidR="00131FFF" w:rsidRPr="00B524AE">
        <w:rPr>
          <w:rFonts w:ascii="Calibri" w:eastAsia="Times New Roman" w:hAnsi="Calibri" w:cs="Calibri"/>
          <w:i/>
          <w:iCs/>
          <w:color w:val="000000"/>
          <w:sz w:val="20"/>
          <w:szCs w:val="20"/>
          <w:bdr w:val="none" w:sz="0" w:space="0" w:color="auto" w:frame="1"/>
          <w:lang w:eastAsia="en-GB"/>
        </w:rPr>
        <w:t>Ibid</w:t>
      </w:r>
      <w:r w:rsidR="00131FFF" w:rsidRPr="00B524AE">
        <w:rPr>
          <w:rFonts w:ascii="Calibri" w:eastAsia="Times New Roman" w:hAnsi="Calibri" w:cs="Calibri"/>
          <w:color w:val="000000"/>
          <w:sz w:val="20"/>
          <w:szCs w:val="20"/>
          <w:bdr w:val="none" w:sz="0" w:space="0" w:color="auto" w:frame="1"/>
          <w:lang w:eastAsia="en-GB"/>
        </w:rPr>
        <w:t xml:space="preserve">., </w:t>
      </w:r>
      <w:r w:rsidR="00461E14" w:rsidRPr="00B524AE">
        <w:rPr>
          <w:rFonts w:ascii="Calibri" w:eastAsia="Times New Roman" w:hAnsi="Calibri" w:cs="Calibri"/>
          <w:color w:val="000000"/>
          <w:sz w:val="20"/>
          <w:szCs w:val="20"/>
          <w:bdr w:val="none" w:sz="0" w:space="0" w:color="auto" w:frame="1"/>
          <w:lang w:eastAsia="en-GB"/>
        </w:rPr>
        <w:t>392</w:t>
      </w:r>
      <w:r w:rsidR="00F644E9" w:rsidRPr="00B524AE">
        <w:rPr>
          <w:rFonts w:ascii="Calibri" w:eastAsia="Times New Roman" w:hAnsi="Calibri" w:cs="Calibri"/>
          <w:color w:val="000000"/>
          <w:sz w:val="20"/>
          <w:szCs w:val="20"/>
          <w:bdr w:val="none" w:sz="0" w:space="0" w:color="auto" w:frame="1"/>
          <w:lang w:eastAsia="en-GB"/>
        </w:rPr>
        <w:t>.</w:t>
      </w:r>
    </w:p>
  </w:footnote>
  <w:footnote w:id="5">
    <w:p w14:paraId="7A8031E1" w14:textId="5B52DF52" w:rsidR="00524A8E" w:rsidRPr="00B524AE" w:rsidRDefault="00524A8E" w:rsidP="00524A8E">
      <w:pPr>
        <w:pStyle w:val="FootnoteText"/>
      </w:pPr>
      <w:r w:rsidRPr="00B524AE">
        <w:rPr>
          <w:rStyle w:val="FootnoteReference"/>
        </w:rPr>
        <w:footnoteRef/>
      </w:r>
      <w:r w:rsidRPr="00B524AE">
        <w:t xml:space="preserve"> </w:t>
      </w:r>
      <w:r w:rsidR="00BE6436" w:rsidRPr="00B524AE">
        <w:t xml:space="preserve">Morten </w:t>
      </w:r>
      <w:proofErr w:type="spellStart"/>
      <w:r w:rsidR="00BE6436" w:rsidRPr="00B524AE">
        <w:t>Broberg</w:t>
      </w:r>
      <w:proofErr w:type="spellEnd"/>
      <w:r w:rsidR="00BE6436" w:rsidRPr="00B524AE">
        <w:t xml:space="preserve">, ‘A Critical Appraisal of the World Health Organization’s International Health Regulations (2005) in Times of Pandemic: It Is Time for Revision’ (2020) European Journal of Risk Regulation </w:t>
      </w:r>
      <w:r w:rsidRPr="00B524AE">
        <w:t>205</w:t>
      </w:r>
      <w:r w:rsidR="00F644E9" w:rsidRPr="00B524AE">
        <w:t>.</w:t>
      </w:r>
    </w:p>
  </w:footnote>
  <w:footnote w:id="6">
    <w:p w14:paraId="45C555AD" w14:textId="10F9D451" w:rsidR="000E0C6E" w:rsidRPr="00B524AE" w:rsidRDefault="000E0C6E">
      <w:pPr>
        <w:pStyle w:val="FootnoteText"/>
      </w:pPr>
      <w:r w:rsidRPr="00B524AE">
        <w:rPr>
          <w:rStyle w:val="FootnoteReference"/>
        </w:rPr>
        <w:footnoteRef/>
      </w:r>
      <w:r w:rsidRPr="00B524AE">
        <w:t xml:space="preserve"> IHR 2005, Annex 1</w:t>
      </w:r>
      <w:r w:rsidR="00F644E9" w:rsidRPr="00B524AE">
        <w:t>.</w:t>
      </w:r>
    </w:p>
  </w:footnote>
  <w:footnote w:id="7">
    <w:p w14:paraId="6DC52B50" w14:textId="62E547A1" w:rsidR="00443197" w:rsidRPr="00B524AE" w:rsidRDefault="00443197" w:rsidP="00443197">
      <w:pPr>
        <w:pStyle w:val="FootnoteText"/>
      </w:pPr>
      <w:r w:rsidRPr="00B524AE">
        <w:rPr>
          <w:rStyle w:val="FootnoteReference"/>
        </w:rPr>
        <w:footnoteRef/>
      </w:r>
      <w:r w:rsidRPr="00B524AE">
        <w:t xml:space="preserve"> Fidler</w:t>
      </w:r>
      <w:r w:rsidR="00131FFF" w:rsidRPr="00B524AE">
        <w:t xml:space="preserve"> (n 3) </w:t>
      </w:r>
      <w:r w:rsidRPr="00B524AE">
        <w:t>363</w:t>
      </w:r>
      <w:r w:rsidR="00F644E9" w:rsidRPr="00B524AE">
        <w:t>.</w:t>
      </w:r>
    </w:p>
  </w:footnote>
  <w:footnote w:id="8">
    <w:p w14:paraId="0D97A2E5" w14:textId="071244C7" w:rsidR="00C6326B" w:rsidRDefault="00C6326B" w:rsidP="00C6326B">
      <w:pPr>
        <w:pStyle w:val="FootnoteText"/>
      </w:pPr>
      <w:r w:rsidRPr="00B524AE">
        <w:rPr>
          <w:rStyle w:val="FootnoteReference"/>
        </w:rPr>
        <w:footnoteRef/>
      </w:r>
      <w:r w:rsidRPr="00B524AE">
        <w:t xml:space="preserve"> IHR 2005, Art. 9, Art. 10</w:t>
      </w:r>
      <w:r w:rsidR="00F644E9" w:rsidRPr="00B524AE">
        <w:t>.</w:t>
      </w:r>
    </w:p>
  </w:footnote>
  <w:footnote w:id="9">
    <w:p w14:paraId="0687593C" w14:textId="69B95C2E" w:rsidR="00D405C5" w:rsidRDefault="00D405C5" w:rsidP="00D405C5">
      <w:pPr>
        <w:pStyle w:val="FootnoteText"/>
      </w:pPr>
      <w:r>
        <w:rPr>
          <w:rStyle w:val="FootnoteReference"/>
        </w:rPr>
        <w:footnoteRef/>
      </w:r>
      <w:r>
        <w:t xml:space="preserve"> </w:t>
      </w:r>
      <w:r w:rsidR="008553C8">
        <w:t xml:space="preserve">Sara </w:t>
      </w:r>
      <w:r>
        <w:t>E</w:t>
      </w:r>
      <w:r w:rsidR="008F4C74">
        <w:t xml:space="preserve"> Davies</w:t>
      </w:r>
      <w:r>
        <w:t xml:space="preserve"> , </w:t>
      </w:r>
      <w:r w:rsidR="008F4C74">
        <w:t xml:space="preserve">Adam </w:t>
      </w:r>
      <w:proofErr w:type="spellStart"/>
      <w:r>
        <w:t>Kamradt</w:t>
      </w:r>
      <w:proofErr w:type="spellEnd"/>
      <w:r>
        <w:t>-Scott</w:t>
      </w:r>
      <w:r w:rsidR="008F4C74">
        <w:t xml:space="preserve"> and Simon</w:t>
      </w:r>
      <w:r>
        <w:t xml:space="preserve"> Rushton</w:t>
      </w:r>
      <w:r w:rsidR="008F4C74">
        <w:t xml:space="preserve">, </w:t>
      </w:r>
      <w:r w:rsidRPr="008F4C74">
        <w:rPr>
          <w:i/>
          <w:iCs/>
        </w:rPr>
        <w:t xml:space="preserve">Disease </w:t>
      </w:r>
      <w:r w:rsidR="008F4C74">
        <w:rPr>
          <w:i/>
          <w:iCs/>
        </w:rPr>
        <w:t>D</w:t>
      </w:r>
      <w:r w:rsidRPr="008F4C74">
        <w:rPr>
          <w:i/>
          <w:iCs/>
        </w:rPr>
        <w:t xml:space="preserve">iplomacy: International </w:t>
      </w:r>
      <w:r w:rsidR="008F4C74">
        <w:rPr>
          <w:i/>
          <w:iCs/>
        </w:rPr>
        <w:t>N</w:t>
      </w:r>
      <w:r w:rsidRPr="008F4C74">
        <w:rPr>
          <w:i/>
          <w:iCs/>
        </w:rPr>
        <w:t xml:space="preserve">orms and </w:t>
      </w:r>
      <w:r w:rsidR="008F4C74">
        <w:rPr>
          <w:i/>
          <w:iCs/>
        </w:rPr>
        <w:t>G</w:t>
      </w:r>
      <w:r w:rsidRPr="008F4C74">
        <w:rPr>
          <w:i/>
          <w:iCs/>
        </w:rPr>
        <w:t xml:space="preserve">lobal </w:t>
      </w:r>
      <w:r w:rsidR="008F4C74">
        <w:rPr>
          <w:i/>
          <w:iCs/>
        </w:rPr>
        <w:t>H</w:t>
      </w:r>
      <w:r w:rsidRPr="008F4C74">
        <w:rPr>
          <w:i/>
          <w:iCs/>
        </w:rPr>
        <w:t xml:space="preserve">ealth </w:t>
      </w:r>
      <w:r w:rsidR="008F4C74">
        <w:rPr>
          <w:i/>
          <w:iCs/>
        </w:rPr>
        <w:t>S</w:t>
      </w:r>
      <w:r w:rsidRPr="008F4C74">
        <w:rPr>
          <w:i/>
          <w:iCs/>
        </w:rPr>
        <w:t xml:space="preserve">ecurity </w:t>
      </w:r>
      <w:r w:rsidR="008F4C74">
        <w:t>(1</w:t>
      </w:r>
      <w:r w:rsidR="008F4C74" w:rsidRPr="008F4C74">
        <w:rPr>
          <w:vertAlign w:val="superscript"/>
        </w:rPr>
        <w:t>st</w:t>
      </w:r>
      <w:r w:rsidR="008F4C74">
        <w:t xml:space="preserve"> </w:t>
      </w:r>
      <w:proofErr w:type="spellStart"/>
      <w:r w:rsidR="008F4C74">
        <w:t>edn</w:t>
      </w:r>
      <w:proofErr w:type="spellEnd"/>
      <w:r w:rsidR="008F4C74">
        <w:t>, JHUP 2015) 72</w:t>
      </w:r>
      <w:r>
        <w:t>; IHR 2005, Art. 43</w:t>
      </w:r>
      <w:r w:rsidR="00F644E9">
        <w:t>.</w:t>
      </w:r>
    </w:p>
  </w:footnote>
  <w:footnote w:id="10">
    <w:p w14:paraId="75B56F57" w14:textId="0747D4BF" w:rsidR="0032427A" w:rsidRDefault="0032427A">
      <w:pPr>
        <w:pStyle w:val="FootnoteText"/>
      </w:pPr>
      <w:r>
        <w:rPr>
          <w:rStyle w:val="FootnoteReference"/>
        </w:rPr>
        <w:footnoteRef/>
      </w:r>
      <w:r>
        <w:t xml:space="preserve"> IHR</w:t>
      </w:r>
      <w:r w:rsidR="00522C7B">
        <w:t xml:space="preserve"> 2005</w:t>
      </w:r>
      <w:r>
        <w:t>, Art 43</w:t>
      </w:r>
      <w:r w:rsidR="00F644E9">
        <w:t>.</w:t>
      </w:r>
    </w:p>
  </w:footnote>
  <w:footnote w:id="11">
    <w:p w14:paraId="05BF7389" w14:textId="228FF21C" w:rsidR="001E6774" w:rsidRPr="00033047" w:rsidRDefault="001E6774" w:rsidP="001E6774">
      <w:pPr>
        <w:pStyle w:val="FootnoteText"/>
      </w:pPr>
      <w:r w:rsidRPr="00033047">
        <w:rPr>
          <w:rStyle w:val="FootnoteReference"/>
        </w:rPr>
        <w:footnoteRef/>
      </w:r>
      <w:r w:rsidRPr="00033047">
        <w:t xml:space="preserve"> WH</w:t>
      </w:r>
      <w:r w:rsidR="00CD5BA4" w:rsidRPr="00033047">
        <w:t xml:space="preserve">O, </w:t>
      </w:r>
      <w:r w:rsidR="00CD5BA4" w:rsidRPr="00033047">
        <w:rPr>
          <w:i/>
          <w:iCs/>
        </w:rPr>
        <w:t>Strengthening response to pandemics and other public‐health emergencies: report of the Review Committee on the Functioning of the International Health Regulations (2005) and on Pandemic Influenza (H1N1)</w:t>
      </w:r>
      <w:r w:rsidR="00CD5BA4" w:rsidRPr="00033047">
        <w:t xml:space="preserve"> (2009) </w:t>
      </w:r>
      <w:r w:rsidRPr="00033047">
        <w:t>63</w:t>
      </w:r>
      <w:r w:rsidR="00F644E9" w:rsidRPr="00033047">
        <w:t>.</w:t>
      </w:r>
    </w:p>
  </w:footnote>
  <w:footnote w:id="12">
    <w:p w14:paraId="53CB64CE" w14:textId="0C2C8250" w:rsidR="0079722E" w:rsidRPr="00033047" w:rsidRDefault="0079722E">
      <w:pPr>
        <w:pStyle w:val="FootnoteText"/>
        <w:rPr>
          <w:b/>
          <w:bCs/>
          <w:u w:val="single"/>
        </w:rPr>
      </w:pPr>
      <w:r w:rsidRPr="00033047">
        <w:rPr>
          <w:rStyle w:val="FootnoteReference"/>
        </w:rPr>
        <w:footnoteRef/>
      </w:r>
      <w:r w:rsidRPr="00033047">
        <w:t xml:space="preserve"> </w:t>
      </w:r>
      <w:r w:rsidR="00446E45" w:rsidRPr="00033047">
        <w:t xml:space="preserve">Independent Oversight and Advisory Committee for the WHO Health Emergencies Programme, </w:t>
      </w:r>
      <w:r w:rsidR="00446E45" w:rsidRPr="00033047">
        <w:rPr>
          <w:i/>
          <w:iCs/>
        </w:rPr>
        <w:t>Interim report on WHO’s response to COVID-19: January – April 2020</w:t>
      </w:r>
      <w:r w:rsidR="00CA5494" w:rsidRPr="00033047">
        <w:rPr>
          <w:i/>
          <w:iCs/>
        </w:rPr>
        <w:t xml:space="preserve"> </w:t>
      </w:r>
      <w:r w:rsidR="00CA5494" w:rsidRPr="00033047">
        <w:t>(2020)</w:t>
      </w:r>
      <w:r w:rsidR="00446E45" w:rsidRPr="00033047">
        <w:t xml:space="preserve"> </w:t>
      </w:r>
      <w:r w:rsidR="007F1A2A" w:rsidRPr="00033047">
        <w:t>4</w:t>
      </w:r>
      <w:r w:rsidR="00CA5494" w:rsidRPr="00033047">
        <w:t>-5</w:t>
      </w:r>
      <w:r w:rsidR="00F644E9" w:rsidRPr="00033047">
        <w:t>.</w:t>
      </w:r>
    </w:p>
  </w:footnote>
  <w:footnote w:id="13">
    <w:p w14:paraId="6C2A417D" w14:textId="699B76E1" w:rsidR="001203EF" w:rsidRPr="00033047" w:rsidRDefault="001203EF">
      <w:pPr>
        <w:pStyle w:val="FootnoteText"/>
        <w:rPr>
          <w:b/>
          <w:bCs/>
          <w:u w:val="single"/>
        </w:rPr>
      </w:pPr>
      <w:r w:rsidRPr="00033047">
        <w:rPr>
          <w:rStyle w:val="FootnoteReference"/>
        </w:rPr>
        <w:footnoteRef/>
      </w:r>
      <w:r w:rsidRPr="00033047">
        <w:t xml:space="preserve"> Lawrence O</w:t>
      </w:r>
      <w:r w:rsidR="000421C9" w:rsidRPr="00033047">
        <w:t xml:space="preserve"> </w:t>
      </w:r>
      <w:proofErr w:type="spellStart"/>
      <w:r w:rsidRPr="00033047">
        <w:t>Gostin</w:t>
      </w:r>
      <w:proofErr w:type="spellEnd"/>
      <w:r w:rsidRPr="00033047">
        <w:t xml:space="preserve"> </w:t>
      </w:r>
      <w:r w:rsidR="000421C9" w:rsidRPr="00033047">
        <w:t>and</w:t>
      </w:r>
      <w:r w:rsidRPr="00033047">
        <w:t xml:space="preserve"> Rebecca Katz, ‘The International Health Regulations’ </w:t>
      </w:r>
      <w:r w:rsidR="00F644E9" w:rsidRPr="00033047">
        <w:t>in Sam F</w:t>
      </w:r>
      <w:r w:rsidRPr="00033047">
        <w:t xml:space="preserve"> </w:t>
      </w:r>
      <w:proofErr w:type="spellStart"/>
      <w:r w:rsidR="00F644E9" w:rsidRPr="00033047">
        <w:t>Halabi</w:t>
      </w:r>
      <w:proofErr w:type="spellEnd"/>
      <w:r w:rsidR="00F644E9" w:rsidRPr="00033047">
        <w:t xml:space="preserve">, </w:t>
      </w:r>
      <w:r w:rsidR="00F644E9" w:rsidRPr="00F644E9">
        <w:t>Lawrence O</w:t>
      </w:r>
      <w:r w:rsidR="00F644E9" w:rsidRPr="00033047">
        <w:t xml:space="preserve"> </w:t>
      </w:r>
      <w:proofErr w:type="spellStart"/>
      <w:r w:rsidR="00F644E9" w:rsidRPr="00033047">
        <w:t>Gostin</w:t>
      </w:r>
      <w:proofErr w:type="spellEnd"/>
      <w:r w:rsidR="00F644E9" w:rsidRPr="00033047">
        <w:t xml:space="preserve"> and </w:t>
      </w:r>
      <w:r w:rsidR="00F644E9" w:rsidRPr="00F644E9">
        <w:t>Jeffrey S</w:t>
      </w:r>
      <w:r w:rsidR="00F644E9" w:rsidRPr="00033047">
        <w:t xml:space="preserve"> Crowley (eds), Global Management of Infectious Disease After Ebola (OUP 2017).</w:t>
      </w:r>
    </w:p>
  </w:footnote>
  <w:footnote w:id="14">
    <w:p w14:paraId="13550E31" w14:textId="5FA8CBB3" w:rsidR="00D326DF" w:rsidRPr="00033047" w:rsidRDefault="00D326DF" w:rsidP="00D326DF">
      <w:pPr>
        <w:pStyle w:val="FootnoteText"/>
      </w:pPr>
      <w:r w:rsidRPr="00033047">
        <w:rPr>
          <w:rStyle w:val="FootnoteReference"/>
        </w:rPr>
        <w:footnoteRef/>
      </w:r>
      <w:r w:rsidRPr="00033047">
        <w:t xml:space="preserve"> </w:t>
      </w:r>
      <w:r w:rsidR="00F644E9" w:rsidRPr="00033047">
        <w:t xml:space="preserve">Adam </w:t>
      </w:r>
      <w:proofErr w:type="spellStart"/>
      <w:r w:rsidRPr="00033047">
        <w:t>Ferhani</w:t>
      </w:r>
      <w:proofErr w:type="spellEnd"/>
      <w:r w:rsidR="00F644E9" w:rsidRPr="00033047">
        <w:t xml:space="preserve"> </w:t>
      </w:r>
      <w:r w:rsidRPr="00033047">
        <w:t>and Simon Rushton</w:t>
      </w:r>
      <w:r w:rsidR="00F644E9" w:rsidRPr="00033047">
        <w:t>,</w:t>
      </w:r>
      <w:r w:rsidRPr="00033047">
        <w:t xml:space="preserve"> </w:t>
      </w:r>
      <w:r w:rsidR="00F644E9" w:rsidRPr="00033047">
        <w:t>‘</w:t>
      </w:r>
      <w:r w:rsidRPr="00033047">
        <w:t>The International Health Regulations, COVID-19, and Bordering Practices: Who Gets in, what Gets Out, and Who Gets Rescued?</w:t>
      </w:r>
      <w:r w:rsidR="00F644E9" w:rsidRPr="00033047">
        <w:t>’ (2020)</w:t>
      </w:r>
      <w:r w:rsidRPr="00033047">
        <w:t xml:space="preserve"> Contemporary Security Policy</w:t>
      </w:r>
      <w:r w:rsidR="00F644E9" w:rsidRPr="00033047">
        <w:t xml:space="preserve"> 45</w:t>
      </w:r>
      <w:r w:rsidRPr="00033047">
        <w:t>8</w:t>
      </w:r>
      <w:r w:rsidR="00F644E9" w:rsidRPr="00033047">
        <w:t>.</w:t>
      </w:r>
    </w:p>
  </w:footnote>
  <w:footnote w:id="15">
    <w:p w14:paraId="410E2ADE" w14:textId="59565286" w:rsidR="00D326DF" w:rsidRPr="00033047" w:rsidRDefault="00D326DF" w:rsidP="00D326DF">
      <w:pPr>
        <w:pStyle w:val="FootnoteText"/>
      </w:pPr>
      <w:r w:rsidRPr="00033047">
        <w:rPr>
          <w:rStyle w:val="FootnoteReference"/>
        </w:rPr>
        <w:footnoteRef/>
      </w:r>
      <w:r w:rsidRPr="00033047">
        <w:t xml:space="preserve"> </w:t>
      </w:r>
      <w:r w:rsidR="00F644E9" w:rsidRPr="00033047">
        <w:rPr>
          <w:i/>
          <w:iCs/>
        </w:rPr>
        <w:t>Ibid.</w:t>
      </w:r>
      <w:r w:rsidRPr="00033047">
        <w:t>, 468</w:t>
      </w:r>
      <w:r w:rsidR="00F644E9" w:rsidRPr="00033047">
        <w:t>.</w:t>
      </w:r>
    </w:p>
  </w:footnote>
  <w:footnote w:id="16">
    <w:p w14:paraId="563B7E36" w14:textId="7B1B1735" w:rsidR="00222BB3" w:rsidRDefault="00222BB3">
      <w:pPr>
        <w:pStyle w:val="FootnoteText"/>
      </w:pPr>
      <w:r w:rsidRPr="00033047">
        <w:rPr>
          <w:rStyle w:val="FootnoteReference"/>
        </w:rPr>
        <w:footnoteRef/>
      </w:r>
      <w:r w:rsidRPr="00033047">
        <w:t xml:space="preserve"> </w:t>
      </w:r>
      <w:proofErr w:type="spellStart"/>
      <w:r w:rsidRPr="00033047">
        <w:t>Gostin</w:t>
      </w:r>
      <w:proofErr w:type="spellEnd"/>
      <w:r w:rsidR="00F644E9" w:rsidRPr="00033047">
        <w:t xml:space="preserve"> and </w:t>
      </w:r>
      <w:r w:rsidRPr="00033047">
        <w:t>Katz</w:t>
      </w:r>
      <w:r w:rsidR="00F644E9" w:rsidRPr="00033047">
        <w:t xml:space="preserve"> (n 13) </w:t>
      </w:r>
      <w:r w:rsidRPr="00033047">
        <w:t>111</w:t>
      </w:r>
      <w:r w:rsidR="00F644E9" w:rsidRPr="00033047">
        <w:t>.</w:t>
      </w:r>
    </w:p>
  </w:footnote>
  <w:footnote w:id="17">
    <w:p w14:paraId="59DFCD74" w14:textId="7D94B23A" w:rsidR="00D20385" w:rsidRPr="00222BB3" w:rsidRDefault="00D20385" w:rsidP="00D20385">
      <w:pPr>
        <w:pStyle w:val="FootnoteText"/>
      </w:pPr>
      <w:r w:rsidRPr="4A5A26F0">
        <w:rPr>
          <w:rStyle w:val="FootnoteReference"/>
        </w:rPr>
        <w:footnoteRef/>
      </w:r>
      <w:r>
        <w:t xml:space="preserve"> </w:t>
      </w:r>
      <w:r w:rsidR="00222BB3">
        <w:rPr>
          <w:i/>
          <w:iCs/>
        </w:rPr>
        <w:t xml:space="preserve">Ibid., </w:t>
      </w:r>
      <w:r w:rsidR="00222BB3">
        <w:t>111.</w:t>
      </w:r>
    </w:p>
  </w:footnote>
  <w:footnote w:id="18">
    <w:p w14:paraId="2BB33048" w14:textId="0F3B904A" w:rsidR="004967E6" w:rsidRDefault="004967E6" w:rsidP="004967E6">
      <w:pPr>
        <w:pStyle w:val="FootnoteText"/>
      </w:pPr>
      <w:r w:rsidRPr="4A5A26F0">
        <w:rPr>
          <w:rStyle w:val="FootnoteReference"/>
        </w:rPr>
        <w:footnoteRef/>
      </w:r>
      <w:r>
        <w:t xml:space="preserve"> </w:t>
      </w:r>
      <w:r w:rsidR="00F644E9">
        <w:t>WHO (n 11).</w:t>
      </w:r>
    </w:p>
  </w:footnote>
  <w:footnote w:id="19">
    <w:p w14:paraId="4572CF07" w14:textId="086113A7" w:rsidR="004967E6" w:rsidRDefault="004967E6" w:rsidP="004967E6">
      <w:pPr>
        <w:pStyle w:val="FootnoteText"/>
      </w:pPr>
      <w:r w:rsidRPr="4A5A26F0">
        <w:rPr>
          <w:rStyle w:val="FootnoteReference"/>
        </w:rPr>
        <w:footnoteRef/>
      </w:r>
      <w:r>
        <w:t xml:space="preserve"> </w:t>
      </w:r>
      <w:proofErr w:type="spellStart"/>
      <w:r w:rsidR="00F644E9">
        <w:t>Gostin</w:t>
      </w:r>
      <w:proofErr w:type="spellEnd"/>
      <w:r w:rsidR="00F644E9">
        <w:t xml:space="preserve"> and Katz (n 13) 104. </w:t>
      </w:r>
    </w:p>
  </w:footnote>
  <w:footnote w:id="20">
    <w:p w14:paraId="1E143F2E" w14:textId="5470D9D1" w:rsidR="00964468" w:rsidRDefault="00964468" w:rsidP="00964468">
      <w:pPr>
        <w:pStyle w:val="FootnoteText"/>
      </w:pPr>
      <w:r w:rsidRPr="4A5A26F0">
        <w:rPr>
          <w:rStyle w:val="FootnoteReference"/>
        </w:rPr>
        <w:footnoteRef/>
      </w:r>
      <w:r>
        <w:t xml:space="preserve"> </w:t>
      </w:r>
      <w:proofErr w:type="spellStart"/>
      <w:r>
        <w:t>Broberg</w:t>
      </w:r>
      <w:proofErr w:type="spellEnd"/>
      <w:r w:rsidR="00BE6436">
        <w:t xml:space="preserve"> (n 5) 207</w:t>
      </w:r>
      <w:r w:rsidR="00F644E9">
        <w:t>.</w:t>
      </w:r>
    </w:p>
  </w:footnote>
  <w:footnote w:id="21">
    <w:p w14:paraId="2773EC69" w14:textId="257BBAAF" w:rsidR="00424D86" w:rsidRPr="00033047" w:rsidRDefault="00424D86" w:rsidP="00424D86">
      <w:pPr>
        <w:pStyle w:val="FootnoteText"/>
      </w:pPr>
      <w:r w:rsidRPr="00033047">
        <w:rPr>
          <w:rStyle w:val="FootnoteReference"/>
        </w:rPr>
        <w:footnoteRef/>
      </w:r>
      <w:r w:rsidRPr="00033047">
        <w:t xml:space="preserve"> </w:t>
      </w:r>
      <w:proofErr w:type="spellStart"/>
      <w:r w:rsidRPr="00033047">
        <w:t>Gostin</w:t>
      </w:r>
      <w:proofErr w:type="spellEnd"/>
      <w:r w:rsidRPr="00033047">
        <w:t xml:space="preserve"> </w:t>
      </w:r>
      <w:r w:rsidR="00F644E9" w:rsidRPr="00033047">
        <w:t>and</w:t>
      </w:r>
      <w:r w:rsidRPr="00033047">
        <w:t xml:space="preserve"> Katz (</w:t>
      </w:r>
      <w:r w:rsidR="00F644E9" w:rsidRPr="00033047">
        <w:t>n 13</w:t>
      </w:r>
      <w:r w:rsidRPr="00033047">
        <w:t>) 119</w:t>
      </w:r>
      <w:r w:rsidR="008575F3" w:rsidRPr="00033047">
        <w:t>.</w:t>
      </w:r>
    </w:p>
  </w:footnote>
  <w:footnote w:id="22">
    <w:p w14:paraId="36720EED" w14:textId="4C7E3700" w:rsidR="0067296D" w:rsidRPr="00033047" w:rsidRDefault="0067296D" w:rsidP="0067296D">
      <w:pPr>
        <w:pStyle w:val="FootnoteText"/>
      </w:pPr>
      <w:r w:rsidRPr="00033047">
        <w:rPr>
          <w:rStyle w:val="FootnoteReference"/>
        </w:rPr>
        <w:footnoteRef/>
      </w:r>
      <w:r w:rsidRPr="00033047">
        <w:t xml:space="preserve"> Clare Wenham</w:t>
      </w:r>
      <w:r w:rsidR="0034495F" w:rsidRPr="00033047">
        <w:t xml:space="preserve">, </w:t>
      </w:r>
      <w:r w:rsidR="00F644E9" w:rsidRPr="00033047">
        <w:t>‘</w:t>
      </w:r>
      <w:r w:rsidRPr="00033047">
        <w:t xml:space="preserve">Ebola </w:t>
      </w:r>
      <w:proofErr w:type="spellStart"/>
      <w:r w:rsidRPr="00033047">
        <w:t>respons-ibility</w:t>
      </w:r>
      <w:proofErr w:type="spellEnd"/>
      <w:r w:rsidRPr="00033047">
        <w:t>: moving from shared to multiple responsibilities</w:t>
      </w:r>
      <w:r w:rsidR="00F644E9" w:rsidRPr="00033047">
        <w:t>’ (2016)</w:t>
      </w:r>
      <w:r w:rsidRPr="00033047">
        <w:t xml:space="preserve"> Third World Quarterly </w:t>
      </w:r>
      <w:r w:rsidR="0034495F" w:rsidRPr="00033047">
        <w:t>436.</w:t>
      </w:r>
    </w:p>
  </w:footnote>
  <w:footnote w:id="23">
    <w:p w14:paraId="52777252" w14:textId="658B20F1" w:rsidR="0026015A" w:rsidRDefault="0026015A" w:rsidP="0026015A">
      <w:pPr>
        <w:pStyle w:val="FootnoteText"/>
      </w:pPr>
      <w:r w:rsidRPr="00033047">
        <w:rPr>
          <w:rStyle w:val="FootnoteReference"/>
        </w:rPr>
        <w:footnoteRef/>
      </w:r>
      <w:r w:rsidRPr="00033047">
        <w:t xml:space="preserve">  </w:t>
      </w:r>
      <w:r w:rsidR="008575F3" w:rsidRPr="00033047">
        <w:t xml:space="preserve">Kenneth W </w:t>
      </w:r>
      <w:r w:rsidRPr="00033047">
        <w:t>Abbott</w:t>
      </w:r>
      <w:r w:rsidR="008575F3" w:rsidRPr="00033047">
        <w:t xml:space="preserve"> </w:t>
      </w:r>
      <w:r w:rsidRPr="00033047">
        <w:t>and Duncan Snidal</w:t>
      </w:r>
      <w:r w:rsidR="008575F3" w:rsidRPr="00033047">
        <w:t>, ‘</w:t>
      </w:r>
      <w:r w:rsidRPr="00033047">
        <w:t>Hard and Soft Law in International Governance</w:t>
      </w:r>
      <w:r w:rsidR="008575F3" w:rsidRPr="00033047">
        <w:t>’ (2000)</w:t>
      </w:r>
      <w:r w:rsidRPr="00033047">
        <w:t xml:space="preserve"> International Organization</w:t>
      </w:r>
      <w:r w:rsidR="008575F3" w:rsidRPr="00033047">
        <w:t xml:space="preserve"> </w:t>
      </w:r>
      <w:r w:rsidRPr="00033047">
        <w:t>42</w:t>
      </w:r>
      <w:r w:rsidR="008575F3" w:rsidRPr="00033047">
        <w:t>1.</w:t>
      </w:r>
    </w:p>
  </w:footnote>
  <w:footnote w:id="24">
    <w:p w14:paraId="7F1C9F80" w14:textId="16B58C17" w:rsidR="00DF7B34" w:rsidRDefault="00DF7B34" w:rsidP="00DF7B34">
      <w:pPr>
        <w:pStyle w:val="FootnoteText"/>
      </w:pPr>
      <w:r w:rsidRPr="4A5A26F0">
        <w:rPr>
          <w:rStyle w:val="FootnoteReference"/>
        </w:rPr>
        <w:footnoteRef/>
      </w:r>
      <w:r>
        <w:t xml:space="preserve"> </w:t>
      </w:r>
      <w:r w:rsidR="00651008">
        <w:t xml:space="preserve">European </w:t>
      </w:r>
      <w:r w:rsidR="00651008" w:rsidRPr="00651008">
        <w:t xml:space="preserve">Commission, </w:t>
      </w:r>
      <w:r w:rsidR="00651008">
        <w:t>‘</w:t>
      </w:r>
      <w:r w:rsidR="00651008" w:rsidRPr="00651008">
        <w:t>Kyoto 1st commitment period (2008–</w:t>
      </w:r>
      <w:r w:rsidR="00651008">
        <w:t>12)’ (</w:t>
      </w:r>
      <w:r w:rsidR="00651008">
        <w:rPr>
          <w:i/>
          <w:iCs/>
        </w:rPr>
        <w:t>Climate Action – European Commission</w:t>
      </w:r>
      <w:r w:rsidR="00651008">
        <w:t>) &lt;</w:t>
      </w:r>
      <w:r w:rsidRPr="00651008">
        <w:t>https://ec.europa.eu/clima/policies/strategies/progress/kyoto_1_en</w:t>
      </w:r>
      <w:r w:rsidR="00651008">
        <w:t>&gt;</w:t>
      </w:r>
      <w:r>
        <w:t xml:space="preserve"> accessed 23 Sept</w:t>
      </w:r>
      <w:r w:rsidR="00651008">
        <w:t>ember</w:t>
      </w:r>
      <w:r>
        <w:t xml:space="preserve"> 2020</w:t>
      </w:r>
      <w:r w:rsidR="008575F3">
        <w:t>.</w:t>
      </w:r>
    </w:p>
  </w:footnote>
  <w:footnote w:id="25">
    <w:p w14:paraId="28BC4F26" w14:textId="6DD6FFF7" w:rsidR="00EE12A5" w:rsidRPr="00651008" w:rsidRDefault="00EE12A5">
      <w:pPr>
        <w:pStyle w:val="FootnoteText"/>
        <w:rPr>
          <w:b/>
          <w:bCs/>
        </w:rPr>
      </w:pPr>
      <w:r>
        <w:rPr>
          <w:rStyle w:val="FootnoteReference"/>
        </w:rPr>
        <w:footnoteRef/>
      </w:r>
      <w:r>
        <w:t xml:space="preserve"> </w:t>
      </w:r>
      <w:r w:rsidR="004E0FB3">
        <w:t>IHR 2005, Art. 43.</w:t>
      </w:r>
      <w:r w:rsidR="00651008">
        <w:t xml:space="preserve"> </w:t>
      </w:r>
    </w:p>
  </w:footnote>
  <w:footnote w:id="26">
    <w:p w14:paraId="01541E32" w14:textId="544C3D3C" w:rsidR="00D60DE6" w:rsidRDefault="00D60DE6" w:rsidP="00D60DE6">
      <w:pPr>
        <w:pStyle w:val="FootnoteText"/>
      </w:pPr>
      <w:r w:rsidRPr="4A5A26F0">
        <w:rPr>
          <w:rStyle w:val="FootnoteReference"/>
        </w:rPr>
        <w:footnoteRef/>
      </w:r>
      <w:r>
        <w:t xml:space="preserve"> Wenham</w:t>
      </w:r>
      <w:r w:rsidR="008575F3">
        <w:t xml:space="preserve"> (n 22)</w:t>
      </w:r>
      <w:r>
        <w:t xml:space="preserve"> 443.</w:t>
      </w:r>
    </w:p>
  </w:footnote>
  <w:footnote w:id="27">
    <w:p w14:paraId="5F957C33" w14:textId="1CF6679B" w:rsidR="00BB3E7F" w:rsidRDefault="00BB3E7F" w:rsidP="00BB3E7F">
      <w:pPr>
        <w:pStyle w:val="FootnoteText"/>
      </w:pPr>
      <w:r w:rsidRPr="4A5A26F0">
        <w:rPr>
          <w:rStyle w:val="FootnoteReference"/>
        </w:rPr>
        <w:footnoteRef/>
      </w:r>
      <w:r>
        <w:t xml:space="preserve"> Pedro A Villarreal, </w:t>
      </w:r>
      <w:r w:rsidR="008575F3">
        <w:t>‘</w:t>
      </w:r>
      <w:r>
        <w:t>Pandemic Intrigue in Geneva: COVID-19 and the 73rd World Health Assembly</w:t>
      </w:r>
      <w:r w:rsidR="008575F3">
        <w:t>’ (</w:t>
      </w:r>
      <w:proofErr w:type="spellStart"/>
      <w:r w:rsidR="008575F3">
        <w:t>EJIL:Talk</w:t>
      </w:r>
      <w:proofErr w:type="spellEnd"/>
      <w:r w:rsidR="008575F3">
        <w:t>!, 22 May 2020) &lt;</w:t>
      </w:r>
      <w:r>
        <w:t>https://www.ejiltalk.org/pandemic-intrigue-in-geneva-covid-19-and-the-73rd-world-health-assembly/</w:t>
      </w:r>
      <w:r w:rsidR="008575F3">
        <w:t>&gt;</w:t>
      </w:r>
      <w:r>
        <w:t xml:space="preserve"> accessed 17 Sept</w:t>
      </w:r>
      <w:r w:rsidR="008575F3">
        <w:t>ember</w:t>
      </w:r>
      <w:r>
        <w:t xml:space="preserve"> 2020</w:t>
      </w:r>
      <w:r w:rsidR="00695477">
        <w:t>.</w:t>
      </w:r>
    </w:p>
  </w:footnote>
  <w:footnote w:id="28">
    <w:p w14:paraId="3E666F8C" w14:textId="1126BC75" w:rsidR="00C53D80" w:rsidRDefault="00C53D80" w:rsidP="00C53D80">
      <w:pPr>
        <w:pStyle w:val="FootnoteText"/>
      </w:pPr>
      <w:r w:rsidRPr="4A5A26F0">
        <w:rPr>
          <w:rStyle w:val="FootnoteReference"/>
        </w:rPr>
        <w:footnoteRef/>
      </w:r>
      <w:r>
        <w:t xml:space="preserve"> Independent Oversight and Advisory Committee for the WHO Health Emergencies Programme</w:t>
      </w:r>
      <w:r w:rsidR="00695477">
        <w:t xml:space="preserve"> (n 12) </w:t>
      </w:r>
      <w:r>
        <w:t xml:space="preserve">11. </w:t>
      </w:r>
    </w:p>
  </w:footnote>
  <w:footnote w:id="29">
    <w:p w14:paraId="3898E9B1" w14:textId="48367A81" w:rsidR="002A547D" w:rsidRDefault="002A547D" w:rsidP="002A547D">
      <w:pPr>
        <w:pStyle w:val="FootnoteText"/>
      </w:pPr>
      <w:r w:rsidRPr="4A5A26F0">
        <w:rPr>
          <w:rStyle w:val="FootnoteReference"/>
        </w:rPr>
        <w:footnoteRef/>
      </w:r>
      <w:r>
        <w:t xml:space="preserve"> W</w:t>
      </w:r>
      <w:r w:rsidR="00695477">
        <w:t xml:space="preserve">HO (n 11) </w:t>
      </w:r>
      <w:r>
        <w:t>60</w:t>
      </w:r>
      <w:r w:rsidR="00695477">
        <w:t>.</w:t>
      </w:r>
    </w:p>
  </w:footnote>
  <w:footnote w:id="30">
    <w:p w14:paraId="0F5032C3" w14:textId="221B5B17" w:rsidR="009A5B8E" w:rsidRDefault="009A5B8E">
      <w:pPr>
        <w:pStyle w:val="FootnoteText"/>
      </w:pPr>
      <w:r>
        <w:rPr>
          <w:rStyle w:val="FootnoteReference"/>
        </w:rPr>
        <w:footnoteRef/>
      </w:r>
      <w:r>
        <w:t xml:space="preserve"> </w:t>
      </w:r>
      <w:r w:rsidRPr="009A5B8E">
        <w:t>Wenham (</w:t>
      </w:r>
      <w:r w:rsidR="00695477">
        <w:t>n 22</w:t>
      </w:r>
      <w:r w:rsidRPr="009A5B8E">
        <w:t>)</w:t>
      </w:r>
      <w:r>
        <w:t xml:space="preserve"> 441.</w:t>
      </w:r>
    </w:p>
  </w:footnote>
  <w:footnote w:id="31">
    <w:p w14:paraId="5D49FFE5" w14:textId="33AB00E5" w:rsidR="002A547D" w:rsidRDefault="002A547D" w:rsidP="002A547D">
      <w:pPr>
        <w:pStyle w:val="FootnoteText"/>
      </w:pPr>
      <w:r w:rsidRPr="4A5A26F0">
        <w:rPr>
          <w:rStyle w:val="FootnoteReference"/>
        </w:rPr>
        <w:footnoteRef/>
      </w:r>
      <w:r>
        <w:t xml:space="preserve"> </w:t>
      </w:r>
      <w:proofErr w:type="spellStart"/>
      <w:r>
        <w:t>Ferhani</w:t>
      </w:r>
      <w:proofErr w:type="spellEnd"/>
      <w:r w:rsidR="00695477">
        <w:t xml:space="preserve"> and Rushton (n 14) </w:t>
      </w:r>
      <w:r>
        <w:t>469</w:t>
      </w:r>
      <w:r w:rsidR="00695477">
        <w:t xml:space="preserve">. </w:t>
      </w:r>
    </w:p>
  </w:footnote>
  <w:footnote w:id="32">
    <w:p w14:paraId="5ED85ADA" w14:textId="413E3924" w:rsidR="00C93289" w:rsidRDefault="00C93289">
      <w:pPr>
        <w:pStyle w:val="FootnoteText"/>
      </w:pPr>
      <w:r>
        <w:rPr>
          <w:rStyle w:val="FootnoteReference"/>
        </w:rPr>
        <w:footnoteRef/>
      </w:r>
      <w:r>
        <w:t xml:space="preserve"> </w:t>
      </w:r>
      <w:proofErr w:type="spellStart"/>
      <w:r w:rsidR="00FA1759">
        <w:t>Ferhani</w:t>
      </w:r>
      <w:proofErr w:type="spellEnd"/>
      <w:r w:rsidR="00695477">
        <w:t xml:space="preserve"> and Rushton (n 14) </w:t>
      </w:r>
      <w:r w:rsidR="00FA1759">
        <w:t>468</w:t>
      </w:r>
      <w:r w:rsidR="00695477">
        <w:t>.</w:t>
      </w:r>
    </w:p>
  </w:footnote>
  <w:footnote w:id="33">
    <w:p w14:paraId="7AEAD0CD" w14:textId="0B23047B" w:rsidR="002A547D" w:rsidRDefault="002A547D" w:rsidP="002A547D">
      <w:pPr>
        <w:pStyle w:val="FootnoteText"/>
      </w:pPr>
      <w:r w:rsidRPr="4A5A26F0">
        <w:rPr>
          <w:rStyle w:val="FootnoteReference"/>
        </w:rPr>
        <w:footnoteRef/>
      </w:r>
      <w:r>
        <w:t xml:space="preserve"> Fidler</w:t>
      </w:r>
      <w:r w:rsidR="00131FFF">
        <w:t xml:space="preserve"> (n 3) </w:t>
      </w:r>
      <w:r>
        <w:t>340</w:t>
      </w:r>
      <w:r w:rsidR="0069547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66735" w14:textId="6A495BCC" w:rsidR="00746B25" w:rsidRPr="00082CE4" w:rsidRDefault="00746B25" w:rsidP="00503B4D">
    <w:pPr>
      <w:pStyle w:val="Header"/>
      <w:jc w:val="right"/>
      <w:rPr>
        <w:sz w:val="20"/>
        <w:szCs w:val="20"/>
      </w:rPr>
    </w:pPr>
    <w:r w:rsidRPr="00082CE4">
      <w:rPr>
        <w:sz w:val="20"/>
        <w:szCs w:val="20"/>
      </w:rPr>
      <w:t>Lara Sheehan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06A"/>
    <w:multiLevelType w:val="hybridMultilevel"/>
    <w:tmpl w:val="367ED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00122"/>
    <w:multiLevelType w:val="multilevel"/>
    <w:tmpl w:val="3DA2D62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1FF31FA"/>
    <w:multiLevelType w:val="multilevel"/>
    <w:tmpl w:val="E6561D38"/>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7F60E2"/>
    <w:multiLevelType w:val="hybridMultilevel"/>
    <w:tmpl w:val="6AA22BAC"/>
    <w:lvl w:ilvl="0" w:tplc="ED5460D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F92697"/>
    <w:multiLevelType w:val="multilevel"/>
    <w:tmpl w:val="31C4A2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0A08AE"/>
    <w:multiLevelType w:val="multilevel"/>
    <w:tmpl w:val="3CA4DCFA"/>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2B5CFD"/>
    <w:multiLevelType w:val="multilevel"/>
    <w:tmpl w:val="3E9658B8"/>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FA6BA5"/>
    <w:multiLevelType w:val="multilevel"/>
    <w:tmpl w:val="D4AA2C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D228FA"/>
    <w:multiLevelType w:val="multilevel"/>
    <w:tmpl w:val="50C4DA6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D0A6FBE"/>
    <w:multiLevelType w:val="multilevel"/>
    <w:tmpl w:val="143801E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9D35FC"/>
    <w:multiLevelType w:val="multilevel"/>
    <w:tmpl w:val="A704DF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023424"/>
    <w:multiLevelType w:val="multilevel"/>
    <w:tmpl w:val="10EEE9D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394D70"/>
    <w:multiLevelType w:val="multilevel"/>
    <w:tmpl w:val="088650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95E5A16"/>
    <w:multiLevelType w:val="multilevel"/>
    <w:tmpl w:val="71E281E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A03CE6"/>
    <w:multiLevelType w:val="multilevel"/>
    <w:tmpl w:val="E938B68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795A13"/>
    <w:multiLevelType w:val="multilevel"/>
    <w:tmpl w:val="92BE2FB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D561722"/>
    <w:multiLevelType w:val="multilevel"/>
    <w:tmpl w:val="5C4421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746DCD"/>
    <w:multiLevelType w:val="multilevel"/>
    <w:tmpl w:val="63A6427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CA7D3C"/>
    <w:multiLevelType w:val="multilevel"/>
    <w:tmpl w:val="81120FA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3B747C"/>
    <w:multiLevelType w:val="multilevel"/>
    <w:tmpl w:val="2946DCF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B7433F"/>
    <w:multiLevelType w:val="multilevel"/>
    <w:tmpl w:val="32E01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76A4E51"/>
    <w:multiLevelType w:val="multilevel"/>
    <w:tmpl w:val="6BB45C6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2710EB"/>
    <w:multiLevelType w:val="multilevel"/>
    <w:tmpl w:val="5704A7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EC02F05"/>
    <w:multiLevelType w:val="multilevel"/>
    <w:tmpl w:val="3838215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0F8467E"/>
    <w:multiLevelType w:val="multilevel"/>
    <w:tmpl w:val="262A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BE711F"/>
    <w:multiLevelType w:val="multilevel"/>
    <w:tmpl w:val="F6C8F7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71F6828"/>
    <w:multiLevelType w:val="multilevel"/>
    <w:tmpl w:val="0E3A236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93201A6"/>
    <w:multiLevelType w:val="multilevel"/>
    <w:tmpl w:val="D19E525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AC55ACD"/>
    <w:multiLevelType w:val="multilevel"/>
    <w:tmpl w:val="522E373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F13853"/>
    <w:multiLevelType w:val="multilevel"/>
    <w:tmpl w:val="F1585C0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151EF3"/>
    <w:multiLevelType w:val="multilevel"/>
    <w:tmpl w:val="1C264F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12E4421"/>
    <w:multiLevelType w:val="multilevel"/>
    <w:tmpl w:val="B82C27B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17E4147"/>
    <w:multiLevelType w:val="multilevel"/>
    <w:tmpl w:val="16E232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2A62659"/>
    <w:multiLevelType w:val="multilevel"/>
    <w:tmpl w:val="9B4E71D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4192D0C"/>
    <w:multiLevelType w:val="multilevel"/>
    <w:tmpl w:val="B0A8AA2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5EF193A"/>
    <w:multiLevelType w:val="multilevel"/>
    <w:tmpl w:val="04720A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62B2A9F"/>
    <w:multiLevelType w:val="hybridMultilevel"/>
    <w:tmpl w:val="A2B4774C"/>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62D6760"/>
    <w:multiLevelType w:val="multilevel"/>
    <w:tmpl w:val="449683F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6EA5117"/>
    <w:multiLevelType w:val="multilevel"/>
    <w:tmpl w:val="533CB4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81F13C3"/>
    <w:multiLevelType w:val="hybridMultilevel"/>
    <w:tmpl w:val="C124F54A"/>
    <w:lvl w:ilvl="0" w:tplc="ED5460D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94939E7"/>
    <w:multiLevelType w:val="multilevel"/>
    <w:tmpl w:val="47FCDB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D4B0368"/>
    <w:multiLevelType w:val="multilevel"/>
    <w:tmpl w:val="B15A45C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09235EF"/>
    <w:multiLevelType w:val="hybridMultilevel"/>
    <w:tmpl w:val="A2B4774C"/>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3DC70F0"/>
    <w:multiLevelType w:val="multilevel"/>
    <w:tmpl w:val="082A933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60D6EB8"/>
    <w:multiLevelType w:val="multilevel"/>
    <w:tmpl w:val="B2B2F2B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A3975A6"/>
    <w:multiLevelType w:val="multilevel"/>
    <w:tmpl w:val="7F7669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AD03190"/>
    <w:multiLevelType w:val="multilevel"/>
    <w:tmpl w:val="5E925CA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F0057D8"/>
    <w:multiLevelType w:val="multilevel"/>
    <w:tmpl w:val="6244386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F3E0A2F"/>
    <w:multiLevelType w:val="multilevel"/>
    <w:tmpl w:val="AE1E2C6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F7B320B"/>
    <w:multiLevelType w:val="hybridMultilevel"/>
    <w:tmpl w:val="FBA0C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F9351D7"/>
    <w:multiLevelType w:val="multilevel"/>
    <w:tmpl w:val="E516251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0061F23"/>
    <w:multiLevelType w:val="multilevel"/>
    <w:tmpl w:val="87E2778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60C00035"/>
    <w:multiLevelType w:val="multilevel"/>
    <w:tmpl w:val="543E5E0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1542647"/>
    <w:multiLevelType w:val="multilevel"/>
    <w:tmpl w:val="31BECCC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7381042"/>
    <w:multiLevelType w:val="multilevel"/>
    <w:tmpl w:val="D8888A3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9B80DA4"/>
    <w:multiLevelType w:val="hybridMultilevel"/>
    <w:tmpl w:val="EC8EA01C"/>
    <w:lvl w:ilvl="0" w:tplc="ED5460D8">
      <w:start w:val="1"/>
      <w:numFmt w:val="decimal"/>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6EA905A1"/>
    <w:multiLevelType w:val="multilevel"/>
    <w:tmpl w:val="5D56121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FB82837"/>
    <w:multiLevelType w:val="multilevel"/>
    <w:tmpl w:val="103E890E"/>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023489B"/>
    <w:multiLevelType w:val="multilevel"/>
    <w:tmpl w:val="4A46E13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2CD7BB8"/>
    <w:multiLevelType w:val="multilevel"/>
    <w:tmpl w:val="4E4AE42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34D1912"/>
    <w:multiLevelType w:val="multilevel"/>
    <w:tmpl w:val="1CDC73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4192E34"/>
    <w:multiLevelType w:val="multilevel"/>
    <w:tmpl w:val="9BF6B0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75B74D0D"/>
    <w:multiLevelType w:val="multilevel"/>
    <w:tmpl w:val="7F3CC9B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73D38EF"/>
    <w:multiLevelType w:val="multilevel"/>
    <w:tmpl w:val="F57C32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78011969"/>
    <w:multiLevelType w:val="multilevel"/>
    <w:tmpl w:val="246EEF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7A875CCF"/>
    <w:multiLevelType w:val="multilevel"/>
    <w:tmpl w:val="933851A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B483BE3"/>
    <w:multiLevelType w:val="multilevel"/>
    <w:tmpl w:val="6DB2D31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7C940839"/>
    <w:multiLevelType w:val="multilevel"/>
    <w:tmpl w:val="4942CDF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D3367DF"/>
    <w:multiLevelType w:val="multilevel"/>
    <w:tmpl w:val="52A86C6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60"/>
  </w:num>
  <w:num w:numId="3">
    <w:abstractNumId w:val="40"/>
  </w:num>
  <w:num w:numId="4">
    <w:abstractNumId w:val="12"/>
  </w:num>
  <w:num w:numId="5">
    <w:abstractNumId w:val="7"/>
  </w:num>
  <w:num w:numId="6">
    <w:abstractNumId w:val="32"/>
  </w:num>
  <w:num w:numId="7">
    <w:abstractNumId w:val="35"/>
  </w:num>
  <w:num w:numId="8">
    <w:abstractNumId w:val="4"/>
  </w:num>
  <w:num w:numId="9">
    <w:abstractNumId w:val="38"/>
  </w:num>
  <w:num w:numId="10">
    <w:abstractNumId w:val="16"/>
  </w:num>
  <w:num w:numId="11">
    <w:abstractNumId w:val="10"/>
  </w:num>
  <w:num w:numId="12">
    <w:abstractNumId w:val="45"/>
  </w:num>
  <w:num w:numId="13">
    <w:abstractNumId w:val="27"/>
  </w:num>
  <w:num w:numId="14">
    <w:abstractNumId w:val="29"/>
  </w:num>
  <w:num w:numId="15">
    <w:abstractNumId w:val="37"/>
  </w:num>
  <w:num w:numId="16">
    <w:abstractNumId w:val="47"/>
  </w:num>
  <w:num w:numId="17">
    <w:abstractNumId w:val="22"/>
  </w:num>
  <w:num w:numId="18">
    <w:abstractNumId w:val="26"/>
  </w:num>
  <w:num w:numId="19">
    <w:abstractNumId w:val="52"/>
  </w:num>
  <w:num w:numId="20">
    <w:abstractNumId w:val="58"/>
  </w:num>
  <w:num w:numId="21">
    <w:abstractNumId w:val="65"/>
  </w:num>
  <w:num w:numId="22">
    <w:abstractNumId w:val="41"/>
  </w:num>
  <w:num w:numId="23">
    <w:abstractNumId w:val="13"/>
  </w:num>
  <w:num w:numId="24">
    <w:abstractNumId w:val="67"/>
  </w:num>
  <w:num w:numId="25">
    <w:abstractNumId w:val="53"/>
  </w:num>
  <w:num w:numId="26">
    <w:abstractNumId w:val="21"/>
  </w:num>
  <w:num w:numId="27">
    <w:abstractNumId w:val="54"/>
  </w:num>
  <w:num w:numId="28">
    <w:abstractNumId w:val="48"/>
  </w:num>
  <w:num w:numId="29">
    <w:abstractNumId w:val="62"/>
  </w:num>
  <w:num w:numId="30">
    <w:abstractNumId w:val="56"/>
  </w:num>
  <w:num w:numId="31">
    <w:abstractNumId w:val="31"/>
  </w:num>
  <w:num w:numId="32">
    <w:abstractNumId w:val="44"/>
  </w:num>
  <w:num w:numId="33">
    <w:abstractNumId w:val="50"/>
  </w:num>
  <w:num w:numId="34">
    <w:abstractNumId w:val="59"/>
  </w:num>
  <w:num w:numId="35">
    <w:abstractNumId w:val="61"/>
  </w:num>
  <w:num w:numId="36">
    <w:abstractNumId w:val="46"/>
  </w:num>
  <w:num w:numId="37">
    <w:abstractNumId w:val="15"/>
  </w:num>
  <w:num w:numId="38">
    <w:abstractNumId w:val="8"/>
  </w:num>
  <w:num w:numId="39">
    <w:abstractNumId w:val="66"/>
  </w:num>
  <w:num w:numId="40">
    <w:abstractNumId w:val="20"/>
  </w:num>
  <w:num w:numId="41">
    <w:abstractNumId w:val="17"/>
  </w:num>
  <w:num w:numId="42">
    <w:abstractNumId w:val="68"/>
  </w:num>
  <w:num w:numId="43">
    <w:abstractNumId w:val="19"/>
  </w:num>
  <w:num w:numId="44">
    <w:abstractNumId w:val="9"/>
  </w:num>
  <w:num w:numId="45">
    <w:abstractNumId w:val="11"/>
  </w:num>
  <w:num w:numId="46">
    <w:abstractNumId w:val="33"/>
  </w:num>
  <w:num w:numId="47">
    <w:abstractNumId w:val="18"/>
  </w:num>
  <w:num w:numId="48">
    <w:abstractNumId w:val="25"/>
  </w:num>
  <w:num w:numId="49">
    <w:abstractNumId w:val="30"/>
  </w:num>
  <w:num w:numId="50">
    <w:abstractNumId w:val="43"/>
  </w:num>
  <w:num w:numId="51">
    <w:abstractNumId w:val="1"/>
  </w:num>
  <w:num w:numId="52">
    <w:abstractNumId w:val="34"/>
  </w:num>
  <w:num w:numId="53">
    <w:abstractNumId w:val="2"/>
  </w:num>
  <w:num w:numId="54">
    <w:abstractNumId w:val="28"/>
  </w:num>
  <w:num w:numId="55">
    <w:abstractNumId w:val="14"/>
  </w:num>
  <w:num w:numId="56">
    <w:abstractNumId w:val="57"/>
  </w:num>
  <w:num w:numId="57">
    <w:abstractNumId w:val="23"/>
  </w:num>
  <w:num w:numId="58">
    <w:abstractNumId w:val="5"/>
  </w:num>
  <w:num w:numId="59">
    <w:abstractNumId w:val="64"/>
  </w:num>
  <w:num w:numId="60">
    <w:abstractNumId w:val="63"/>
  </w:num>
  <w:num w:numId="61">
    <w:abstractNumId w:val="51"/>
  </w:num>
  <w:num w:numId="62">
    <w:abstractNumId w:val="6"/>
  </w:num>
  <w:num w:numId="63">
    <w:abstractNumId w:val="3"/>
  </w:num>
  <w:num w:numId="64">
    <w:abstractNumId w:val="39"/>
  </w:num>
  <w:num w:numId="65">
    <w:abstractNumId w:val="55"/>
  </w:num>
  <w:num w:numId="66">
    <w:abstractNumId w:val="36"/>
  </w:num>
  <w:num w:numId="67">
    <w:abstractNumId w:val="0"/>
  </w:num>
  <w:num w:numId="68">
    <w:abstractNumId w:val="49"/>
  </w:num>
  <w:num w:numId="69">
    <w:abstractNumId w:val="4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9E3"/>
    <w:rsid w:val="0000260B"/>
    <w:rsid w:val="0002486D"/>
    <w:rsid w:val="00025D01"/>
    <w:rsid w:val="00033047"/>
    <w:rsid w:val="00033599"/>
    <w:rsid w:val="0003636F"/>
    <w:rsid w:val="00037DDA"/>
    <w:rsid w:val="000421C9"/>
    <w:rsid w:val="00046455"/>
    <w:rsid w:val="00050790"/>
    <w:rsid w:val="00057E7A"/>
    <w:rsid w:val="00060C20"/>
    <w:rsid w:val="00066B96"/>
    <w:rsid w:val="0007518B"/>
    <w:rsid w:val="00077373"/>
    <w:rsid w:val="00082765"/>
    <w:rsid w:val="00082CE4"/>
    <w:rsid w:val="00083124"/>
    <w:rsid w:val="000B2C43"/>
    <w:rsid w:val="000B4423"/>
    <w:rsid w:val="000B54B8"/>
    <w:rsid w:val="000C3D9F"/>
    <w:rsid w:val="000D1AE0"/>
    <w:rsid w:val="000E0C6E"/>
    <w:rsid w:val="000F2ABD"/>
    <w:rsid w:val="000F3835"/>
    <w:rsid w:val="000F48F4"/>
    <w:rsid w:val="00104E47"/>
    <w:rsid w:val="001203EF"/>
    <w:rsid w:val="001314A7"/>
    <w:rsid w:val="00131FFF"/>
    <w:rsid w:val="00133B4B"/>
    <w:rsid w:val="001530D3"/>
    <w:rsid w:val="00160614"/>
    <w:rsid w:val="00161689"/>
    <w:rsid w:val="00163A05"/>
    <w:rsid w:val="00164937"/>
    <w:rsid w:val="001664BF"/>
    <w:rsid w:val="00167368"/>
    <w:rsid w:val="00174390"/>
    <w:rsid w:val="0018286F"/>
    <w:rsid w:val="00184F64"/>
    <w:rsid w:val="001909DC"/>
    <w:rsid w:val="00192035"/>
    <w:rsid w:val="0019387B"/>
    <w:rsid w:val="001A0313"/>
    <w:rsid w:val="001A2744"/>
    <w:rsid w:val="001A2804"/>
    <w:rsid w:val="001A5F6B"/>
    <w:rsid w:val="001A5FFE"/>
    <w:rsid w:val="001C190F"/>
    <w:rsid w:val="001D003C"/>
    <w:rsid w:val="001E39B0"/>
    <w:rsid w:val="001E6774"/>
    <w:rsid w:val="001F1649"/>
    <w:rsid w:val="00206A03"/>
    <w:rsid w:val="00222BB3"/>
    <w:rsid w:val="00223523"/>
    <w:rsid w:val="00234414"/>
    <w:rsid w:val="00250A62"/>
    <w:rsid w:val="00251B8F"/>
    <w:rsid w:val="00257C84"/>
    <w:rsid w:val="0026015A"/>
    <w:rsid w:val="00274CFE"/>
    <w:rsid w:val="0027662E"/>
    <w:rsid w:val="00277C70"/>
    <w:rsid w:val="00280622"/>
    <w:rsid w:val="00280C7A"/>
    <w:rsid w:val="00292EAC"/>
    <w:rsid w:val="002A2092"/>
    <w:rsid w:val="002A547D"/>
    <w:rsid w:val="002B24FF"/>
    <w:rsid w:val="002B6F41"/>
    <w:rsid w:val="002D2D33"/>
    <w:rsid w:val="002D6EAB"/>
    <w:rsid w:val="002D7D86"/>
    <w:rsid w:val="002F63E2"/>
    <w:rsid w:val="002F7876"/>
    <w:rsid w:val="002F7CAD"/>
    <w:rsid w:val="003034ED"/>
    <w:rsid w:val="00315CB8"/>
    <w:rsid w:val="003223A7"/>
    <w:rsid w:val="0032427A"/>
    <w:rsid w:val="00326BC9"/>
    <w:rsid w:val="00332C7A"/>
    <w:rsid w:val="003369BC"/>
    <w:rsid w:val="003419D7"/>
    <w:rsid w:val="0034461A"/>
    <w:rsid w:val="0034495F"/>
    <w:rsid w:val="0034587F"/>
    <w:rsid w:val="003634D3"/>
    <w:rsid w:val="00367827"/>
    <w:rsid w:val="00376553"/>
    <w:rsid w:val="00386F22"/>
    <w:rsid w:val="0039348E"/>
    <w:rsid w:val="00397326"/>
    <w:rsid w:val="003A406E"/>
    <w:rsid w:val="003B2CB4"/>
    <w:rsid w:val="003C59F1"/>
    <w:rsid w:val="003D0105"/>
    <w:rsid w:val="003D539B"/>
    <w:rsid w:val="003E1194"/>
    <w:rsid w:val="003E2BC1"/>
    <w:rsid w:val="003E3FA1"/>
    <w:rsid w:val="003F110A"/>
    <w:rsid w:val="003F57BA"/>
    <w:rsid w:val="004045CC"/>
    <w:rsid w:val="00416600"/>
    <w:rsid w:val="00417E8A"/>
    <w:rsid w:val="00424D86"/>
    <w:rsid w:val="004309B9"/>
    <w:rsid w:val="004315CD"/>
    <w:rsid w:val="00432E66"/>
    <w:rsid w:val="004403C3"/>
    <w:rsid w:val="00441FD6"/>
    <w:rsid w:val="00443197"/>
    <w:rsid w:val="004439B8"/>
    <w:rsid w:val="00444F51"/>
    <w:rsid w:val="00446E45"/>
    <w:rsid w:val="004572D9"/>
    <w:rsid w:val="00461E14"/>
    <w:rsid w:val="00463277"/>
    <w:rsid w:val="0048268E"/>
    <w:rsid w:val="00493637"/>
    <w:rsid w:val="004967E6"/>
    <w:rsid w:val="00497C14"/>
    <w:rsid w:val="004A7DD4"/>
    <w:rsid w:val="004B07E6"/>
    <w:rsid w:val="004B0CD6"/>
    <w:rsid w:val="004C13E6"/>
    <w:rsid w:val="004C2254"/>
    <w:rsid w:val="004C25ED"/>
    <w:rsid w:val="004D18B8"/>
    <w:rsid w:val="004E071A"/>
    <w:rsid w:val="004E0FB3"/>
    <w:rsid w:val="004E79B6"/>
    <w:rsid w:val="004F2EAB"/>
    <w:rsid w:val="004F5B98"/>
    <w:rsid w:val="00503B4D"/>
    <w:rsid w:val="00522C7B"/>
    <w:rsid w:val="00524A8E"/>
    <w:rsid w:val="00526613"/>
    <w:rsid w:val="00526A52"/>
    <w:rsid w:val="0053052A"/>
    <w:rsid w:val="00531BDE"/>
    <w:rsid w:val="00537976"/>
    <w:rsid w:val="005454E8"/>
    <w:rsid w:val="005514A5"/>
    <w:rsid w:val="0056142B"/>
    <w:rsid w:val="0056465A"/>
    <w:rsid w:val="00574444"/>
    <w:rsid w:val="005807FE"/>
    <w:rsid w:val="00581BB7"/>
    <w:rsid w:val="00583FFC"/>
    <w:rsid w:val="005A02F7"/>
    <w:rsid w:val="005A0D50"/>
    <w:rsid w:val="005A4F36"/>
    <w:rsid w:val="005B3187"/>
    <w:rsid w:val="005B4ACC"/>
    <w:rsid w:val="005B6355"/>
    <w:rsid w:val="005C20C5"/>
    <w:rsid w:val="005C2E79"/>
    <w:rsid w:val="005C3A10"/>
    <w:rsid w:val="005C40CC"/>
    <w:rsid w:val="005D05D5"/>
    <w:rsid w:val="005D4781"/>
    <w:rsid w:val="005D6A94"/>
    <w:rsid w:val="005E1F26"/>
    <w:rsid w:val="005E5294"/>
    <w:rsid w:val="005E7D4D"/>
    <w:rsid w:val="005F6596"/>
    <w:rsid w:val="00600478"/>
    <w:rsid w:val="00600FD9"/>
    <w:rsid w:val="00606033"/>
    <w:rsid w:val="00606F77"/>
    <w:rsid w:val="006102DB"/>
    <w:rsid w:val="006106FB"/>
    <w:rsid w:val="00611535"/>
    <w:rsid w:val="00613A80"/>
    <w:rsid w:val="00614113"/>
    <w:rsid w:val="00617ACB"/>
    <w:rsid w:val="00626752"/>
    <w:rsid w:val="00635F57"/>
    <w:rsid w:val="00646657"/>
    <w:rsid w:val="00651008"/>
    <w:rsid w:val="006602F3"/>
    <w:rsid w:val="00662273"/>
    <w:rsid w:val="0066353F"/>
    <w:rsid w:val="00663CFB"/>
    <w:rsid w:val="0066777A"/>
    <w:rsid w:val="0067296D"/>
    <w:rsid w:val="00672B94"/>
    <w:rsid w:val="006816E4"/>
    <w:rsid w:val="0068746F"/>
    <w:rsid w:val="00690598"/>
    <w:rsid w:val="0069253B"/>
    <w:rsid w:val="00695477"/>
    <w:rsid w:val="006A5387"/>
    <w:rsid w:val="006B2EBF"/>
    <w:rsid w:val="006B6B37"/>
    <w:rsid w:val="006C2271"/>
    <w:rsid w:val="006C257F"/>
    <w:rsid w:val="006C62B4"/>
    <w:rsid w:val="006F0E2F"/>
    <w:rsid w:val="006F1048"/>
    <w:rsid w:val="006F2170"/>
    <w:rsid w:val="006F4CE9"/>
    <w:rsid w:val="007055CE"/>
    <w:rsid w:val="00715319"/>
    <w:rsid w:val="00717B3A"/>
    <w:rsid w:val="00717E8B"/>
    <w:rsid w:val="007364EE"/>
    <w:rsid w:val="00743639"/>
    <w:rsid w:val="00746B25"/>
    <w:rsid w:val="00762265"/>
    <w:rsid w:val="007654AE"/>
    <w:rsid w:val="00765B71"/>
    <w:rsid w:val="00767BCF"/>
    <w:rsid w:val="00771277"/>
    <w:rsid w:val="00781EE8"/>
    <w:rsid w:val="00790270"/>
    <w:rsid w:val="00791146"/>
    <w:rsid w:val="007945EB"/>
    <w:rsid w:val="0079722E"/>
    <w:rsid w:val="007A20D7"/>
    <w:rsid w:val="007B4B5E"/>
    <w:rsid w:val="007B66B9"/>
    <w:rsid w:val="007C0013"/>
    <w:rsid w:val="007C41B7"/>
    <w:rsid w:val="007D0850"/>
    <w:rsid w:val="007D152F"/>
    <w:rsid w:val="007D28E9"/>
    <w:rsid w:val="007D75B9"/>
    <w:rsid w:val="007E2E4F"/>
    <w:rsid w:val="007E50E3"/>
    <w:rsid w:val="007E5C88"/>
    <w:rsid w:val="007E63CE"/>
    <w:rsid w:val="007F1A2A"/>
    <w:rsid w:val="007F326F"/>
    <w:rsid w:val="00831109"/>
    <w:rsid w:val="0083236F"/>
    <w:rsid w:val="00843752"/>
    <w:rsid w:val="0084677A"/>
    <w:rsid w:val="008553C8"/>
    <w:rsid w:val="00855481"/>
    <w:rsid w:val="00856FB7"/>
    <w:rsid w:val="008575F3"/>
    <w:rsid w:val="0086349A"/>
    <w:rsid w:val="008679AE"/>
    <w:rsid w:val="0087443F"/>
    <w:rsid w:val="00886BFC"/>
    <w:rsid w:val="008A4AFA"/>
    <w:rsid w:val="008B0CBC"/>
    <w:rsid w:val="008B48CA"/>
    <w:rsid w:val="008D73BD"/>
    <w:rsid w:val="008E1F82"/>
    <w:rsid w:val="008E4398"/>
    <w:rsid w:val="008E59A3"/>
    <w:rsid w:val="008E5DF1"/>
    <w:rsid w:val="008F4C74"/>
    <w:rsid w:val="008F6CC5"/>
    <w:rsid w:val="008F6EB6"/>
    <w:rsid w:val="008F6FA0"/>
    <w:rsid w:val="00900DB9"/>
    <w:rsid w:val="00907CF8"/>
    <w:rsid w:val="00910A1A"/>
    <w:rsid w:val="00911B07"/>
    <w:rsid w:val="00925156"/>
    <w:rsid w:val="00925F0B"/>
    <w:rsid w:val="009260EB"/>
    <w:rsid w:val="00926D5C"/>
    <w:rsid w:val="009325E2"/>
    <w:rsid w:val="00935AF1"/>
    <w:rsid w:val="00936BDB"/>
    <w:rsid w:val="00946F07"/>
    <w:rsid w:val="009508DF"/>
    <w:rsid w:val="0095121A"/>
    <w:rsid w:val="009535BD"/>
    <w:rsid w:val="00953606"/>
    <w:rsid w:val="00953AD4"/>
    <w:rsid w:val="00953FDC"/>
    <w:rsid w:val="009642A0"/>
    <w:rsid w:val="00964468"/>
    <w:rsid w:val="009677DD"/>
    <w:rsid w:val="00972A8D"/>
    <w:rsid w:val="0097779D"/>
    <w:rsid w:val="00984115"/>
    <w:rsid w:val="00992082"/>
    <w:rsid w:val="009A1F6C"/>
    <w:rsid w:val="009A5B8E"/>
    <w:rsid w:val="009B2D8F"/>
    <w:rsid w:val="009B64F1"/>
    <w:rsid w:val="009C1EDE"/>
    <w:rsid w:val="009D16F5"/>
    <w:rsid w:val="009D3318"/>
    <w:rsid w:val="009F4D56"/>
    <w:rsid w:val="00A05E6D"/>
    <w:rsid w:val="00A06ED2"/>
    <w:rsid w:val="00A1111C"/>
    <w:rsid w:val="00A17E3D"/>
    <w:rsid w:val="00A26413"/>
    <w:rsid w:val="00A27FF1"/>
    <w:rsid w:val="00A329CB"/>
    <w:rsid w:val="00A42BB0"/>
    <w:rsid w:val="00A46C9A"/>
    <w:rsid w:val="00A53AF5"/>
    <w:rsid w:val="00A615AA"/>
    <w:rsid w:val="00A6561A"/>
    <w:rsid w:val="00A802F5"/>
    <w:rsid w:val="00A81D96"/>
    <w:rsid w:val="00AA38D6"/>
    <w:rsid w:val="00AA4020"/>
    <w:rsid w:val="00AB66DF"/>
    <w:rsid w:val="00AC31C3"/>
    <w:rsid w:val="00AC6987"/>
    <w:rsid w:val="00AD460B"/>
    <w:rsid w:val="00AE148E"/>
    <w:rsid w:val="00AF0333"/>
    <w:rsid w:val="00B01460"/>
    <w:rsid w:val="00B0645C"/>
    <w:rsid w:val="00B076EA"/>
    <w:rsid w:val="00B17710"/>
    <w:rsid w:val="00B24345"/>
    <w:rsid w:val="00B262ED"/>
    <w:rsid w:val="00B27AE1"/>
    <w:rsid w:val="00B30FA1"/>
    <w:rsid w:val="00B32524"/>
    <w:rsid w:val="00B3261F"/>
    <w:rsid w:val="00B524AE"/>
    <w:rsid w:val="00B53EAD"/>
    <w:rsid w:val="00B603A4"/>
    <w:rsid w:val="00B62266"/>
    <w:rsid w:val="00B75851"/>
    <w:rsid w:val="00B8510E"/>
    <w:rsid w:val="00B8674E"/>
    <w:rsid w:val="00B870F3"/>
    <w:rsid w:val="00BA3097"/>
    <w:rsid w:val="00BA5BCF"/>
    <w:rsid w:val="00BA7502"/>
    <w:rsid w:val="00BA7F24"/>
    <w:rsid w:val="00BB1C65"/>
    <w:rsid w:val="00BB3E7F"/>
    <w:rsid w:val="00BC628F"/>
    <w:rsid w:val="00BC747E"/>
    <w:rsid w:val="00BD1AA5"/>
    <w:rsid w:val="00BD5290"/>
    <w:rsid w:val="00BD6B92"/>
    <w:rsid w:val="00BE6436"/>
    <w:rsid w:val="00BF0505"/>
    <w:rsid w:val="00BF05D8"/>
    <w:rsid w:val="00BF26C8"/>
    <w:rsid w:val="00BF3C6E"/>
    <w:rsid w:val="00C07774"/>
    <w:rsid w:val="00C43430"/>
    <w:rsid w:val="00C47E20"/>
    <w:rsid w:val="00C53D80"/>
    <w:rsid w:val="00C549BC"/>
    <w:rsid w:val="00C55726"/>
    <w:rsid w:val="00C56128"/>
    <w:rsid w:val="00C6212C"/>
    <w:rsid w:val="00C6326B"/>
    <w:rsid w:val="00C81284"/>
    <w:rsid w:val="00C91966"/>
    <w:rsid w:val="00C92001"/>
    <w:rsid w:val="00C92A91"/>
    <w:rsid w:val="00C93289"/>
    <w:rsid w:val="00CA31C7"/>
    <w:rsid w:val="00CA5494"/>
    <w:rsid w:val="00CA6E4F"/>
    <w:rsid w:val="00CB12CC"/>
    <w:rsid w:val="00CB1F2C"/>
    <w:rsid w:val="00CB7E79"/>
    <w:rsid w:val="00CC1CE1"/>
    <w:rsid w:val="00CC4CA6"/>
    <w:rsid w:val="00CD5BA4"/>
    <w:rsid w:val="00CE1389"/>
    <w:rsid w:val="00CE1F52"/>
    <w:rsid w:val="00D00935"/>
    <w:rsid w:val="00D10087"/>
    <w:rsid w:val="00D20385"/>
    <w:rsid w:val="00D21952"/>
    <w:rsid w:val="00D27589"/>
    <w:rsid w:val="00D326DF"/>
    <w:rsid w:val="00D405C5"/>
    <w:rsid w:val="00D415D1"/>
    <w:rsid w:val="00D46B2C"/>
    <w:rsid w:val="00D51CF7"/>
    <w:rsid w:val="00D60DE6"/>
    <w:rsid w:val="00D802C8"/>
    <w:rsid w:val="00D826BD"/>
    <w:rsid w:val="00D829B0"/>
    <w:rsid w:val="00D82E0C"/>
    <w:rsid w:val="00D91336"/>
    <w:rsid w:val="00DA10E0"/>
    <w:rsid w:val="00DD4DC9"/>
    <w:rsid w:val="00DD69F3"/>
    <w:rsid w:val="00DE0326"/>
    <w:rsid w:val="00DE1018"/>
    <w:rsid w:val="00DE4D48"/>
    <w:rsid w:val="00DE74A7"/>
    <w:rsid w:val="00DF52CF"/>
    <w:rsid w:val="00DF7B34"/>
    <w:rsid w:val="00E002E5"/>
    <w:rsid w:val="00E0651D"/>
    <w:rsid w:val="00E11AEB"/>
    <w:rsid w:val="00E14B22"/>
    <w:rsid w:val="00E20666"/>
    <w:rsid w:val="00E23E6D"/>
    <w:rsid w:val="00E337BF"/>
    <w:rsid w:val="00E342D1"/>
    <w:rsid w:val="00E40D4D"/>
    <w:rsid w:val="00E41B78"/>
    <w:rsid w:val="00E437E4"/>
    <w:rsid w:val="00E479F2"/>
    <w:rsid w:val="00E57D7A"/>
    <w:rsid w:val="00E63562"/>
    <w:rsid w:val="00E70F7D"/>
    <w:rsid w:val="00E7128C"/>
    <w:rsid w:val="00E928F5"/>
    <w:rsid w:val="00EA12C8"/>
    <w:rsid w:val="00EA1D9B"/>
    <w:rsid w:val="00EA53AA"/>
    <w:rsid w:val="00EB20AD"/>
    <w:rsid w:val="00EB57BD"/>
    <w:rsid w:val="00EC000B"/>
    <w:rsid w:val="00EC0424"/>
    <w:rsid w:val="00EC77D3"/>
    <w:rsid w:val="00EE09E3"/>
    <w:rsid w:val="00EE12A5"/>
    <w:rsid w:val="00EF3B6A"/>
    <w:rsid w:val="00EF52A5"/>
    <w:rsid w:val="00F23FB1"/>
    <w:rsid w:val="00F30164"/>
    <w:rsid w:val="00F35934"/>
    <w:rsid w:val="00F51F71"/>
    <w:rsid w:val="00F55093"/>
    <w:rsid w:val="00F644E9"/>
    <w:rsid w:val="00F72F12"/>
    <w:rsid w:val="00F82DA4"/>
    <w:rsid w:val="00F91F59"/>
    <w:rsid w:val="00F9343A"/>
    <w:rsid w:val="00FA1759"/>
    <w:rsid w:val="00FA187F"/>
    <w:rsid w:val="00FA32C0"/>
    <w:rsid w:val="00FA399A"/>
    <w:rsid w:val="00FA5286"/>
    <w:rsid w:val="00FA56DD"/>
    <w:rsid w:val="00FB1F59"/>
    <w:rsid w:val="00FB3D1A"/>
    <w:rsid w:val="00FC130F"/>
    <w:rsid w:val="00FE0444"/>
    <w:rsid w:val="00FE5098"/>
    <w:rsid w:val="00FE5382"/>
    <w:rsid w:val="00FF37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2A042"/>
  <w15:chartTrackingRefBased/>
  <w15:docId w15:val="{F22D7625-E0BA-FA4D-A6D9-57F6B07B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5100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perscript">
    <w:name w:val="superscript"/>
    <w:basedOn w:val="DefaultParagraphFont"/>
    <w:rsid w:val="00EE09E3"/>
  </w:style>
  <w:style w:type="character" w:customStyle="1" w:styleId="normaltextrun">
    <w:name w:val="normaltextrun"/>
    <w:basedOn w:val="DefaultParagraphFont"/>
    <w:rsid w:val="00EE09E3"/>
  </w:style>
  <w:style w:type="paragraph" w:customStyle="1" w:styleId="msonormal0">
    <w:name w:val="msonormal"/>
    <w:basedOn w:val="Normal"/>
    <w:rsid w:val="00EE09E3"/>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EE09E3"/>
    <w:pPr>
      <w:spacing w:before="100" w:beforeAutospacing="1" w:after="100" w:afterAutospacing="1"/>
    </w:pPr>
    <w:rPr>
      <w:rFonts w:ascii="Times New Roman" w:eastAsia="Times New Roman" w:hAnsi="Times New Roman" w:cs="Times New Roman"/>
      <w:lang w:eastAsia="en-GB"/>
    </w:rPr>
  </w:style>
  <w:style w:type="character" w:customStyle="1" w:styleId="textrun">
    <w:name w:val="textrun"/>
    <w:basedOn w:val="DefaultParagraphFont"/>
    <w:rsid w:val="00EE09E3"/>
  </w:style>
  <w:style w:type="character" w:customStyle="1" w:styleId="eop">
    <w:name w:val="eop"/>
    <w:basedOn w:val="DefaultParagraphFont"/>
    <w:rsid w:val="00EE09E3"/>
  </w:style>
  <w:style w:type="paragraph" w:customStyle="1" w:styleId="outlineelement">
    <w:name w:val="outlineelement"/>
    <w:basedOn w:val="Normal"/>
    <w:rsid w:val="00EE09E3"/>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6635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353F"/>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0C3D9F"/>
    <w:rPr>
      <w:sz w:val="20"/>
      <w:szCs w:val="20"/>
    </w:rPr>
  </w:style>
  <w:style w:type="character" w:customStyle="1" w:styleId="FootnoteTextChar">
    <w:name w:val="Footnote Text Char"/>
    <w:basedOn w:val="DefaultParagraphFont"/>
    <w:link w:val="FootnoteText"/>
    <w:uiPriority w:val="99"/>
    <w:semiHidden/>
    <w:rsid w:val="000C3D9F"/>
    <w:rPr>
      <w:sz w:val="20"/>
      <w:szCs w:val="20"/>
    </w:rPr>
  </w:style>
  <w:style w:type="character" w:styleId="FootnoteReference">
    <w:name w:val="footnote reference"/>
    <w:basedOn w:val="DefaultParagraphFont"/>
    <w:uiPriority w:val="99"/>
    <w:semiHidden/>
    <w:unhideWhenUsed/>
    <w:rsid w:val="000C3D9F"/>
    <w:rPr>
      <w:vertAlign w:val="superscript"/>
    </w:rPr>
  </w:style>
  <w:style w:type="paragraph" w:styleId="ListParagraph">
    <w:name w:val="List Paragraph"/>
    <w:basedOn w:val="Normal"/>
    <w:uiPriority w:val="34"/>
    <w:qFormat/>
    <w:rsid w:val="004E071A"/>
    <w:pPr>
      <w:ind w:left="720"/>
      <w:contextualSpacing/>
    </w:pPr>
  </w:style>
  <w:style w:type="paragraph" w:styleId="Header">
    <w:name w:val="header"/>
    <w:basedOn w:val="Normal"/>
    <w:link w:val="HeaderChar"/>
    <w:uiPriority w:val="99"/>
    <w:unhideWhenUsed/>
    <w:rsid w:val="00746B25"/>
    <w:pPr>
      <w:tabs>
        <w:tab w:val="center" w:pos="4513"/>
        <w:tab w:val="right" w:pos="9026"/>
      </w:tabs>
    </w:pPr>
  </w:style>
  <w:style w:type="character" w:customStyle="1" w:styleId="HeaderChar">
    <w:name w:val="Header Char"/>
    <w:basedOn w:val="DefaultParagraphFont"/>
    <w:link w:val="Header"/>
    <w:uiPriority w:val="99"/>
    <w:rsid w:val="00746B25"/>
  </w:style>
  <w:style w:type="paragraph" w:styleId="Footer">
    <w:name w:val="footer"/>
    <w:basedOn w:val="Normal"/>
    <w:link w:val="FooterChar"/>
    <w:uiPriority w:val="99"/>
    <w:unhideWhenUsed/>
    <w:rsid w:val="00746B25"/>
    <w:pPr>
      <w:tabs>
        <w:tab w:val="center" w:pos="4513"/>
        <w:tab w:val="right" w:pos="9026"/>
      </w:tabs>
    </w:pPr>
  </w:style>
  <w:style w:type="character" w:customStyle="1" w:styleId="FooterChar">
    <w:name w:val="Footer Char"/>
    <w:basedOn w:val="DefaultParagraphFont"/>
    <w:link w:val="Footer"/>
    <w:uiPriority w:val="99"/>
    <w:rsid w:val="00746B25"/>
  </w:style>
  <w:style w:type="character" w:styleId="PageNumber">
    <w:name w:val="page number"/>
    <w:basedOn w:val="DefaultParagraphFont"/>
    <w:uiPriority w:val="99"/>
    <w:semiHidden/>
    <w:unhideWhenUsed/>
    <w:rsid w:val="00FE0444"/>
  </w:style>
  <w:style w:type="character" w:styleId="Hyperlink">
    <w:name w:val="Hyperlink"/>
    <w:basedOn w:val="DefaultParagraphFont"/>
    <w:uiPriority w:val="99"/>
    <w:unhideWhenUsed/>
    <w:rsid w:val="00DF7B34"/>
    <w:rPr>
      <w:color w:val="0563C1" w:themeColor="hyperlink"/>
      <w:u w:val="single"/>
    </w:rPr>
  </w:style>
  <w:style w:type="character" w:styleId="UnresolvedMention">
    <w:name w:val="Unresolved Mention"/>
    <w:basedOn w:val="DefaultParagraphFont"/>
    <w:uiPriority w:val="99"/>
    <w:semiHidden/>
    <w:unhideWhenUsed/>
    <w:rsid w:val="009A5B8E"/>
    <w:rPr>
      <w:color w:val="605E5C"/>
      <w:shd w:val="clear" w:color="auto" w:fill="E1DFDD"/>
    </w:rPr>
  </w:style>
  <w:style w:type="character" w:customStyle="1" w:styleId="Heading1Char">
    <w:name w:val="Heading 1 Char"/>
    <w:basedOn w:val="DefaultParagraphFont"/>
    <w:link w:val="Heading1"/>
    <w:uiPriority w:val="9"/>
    <w:rsid w:val="00651008"/>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793120">
      <w:bodyDiv w:val="1"/>
      <w:marLeft w:val="0"/>
      <w:marRight w:val="0"/>
      <w:marTop w:val="0"/>
      <w:marBottom w:val="0"/>
      <w:divBdr>
        <w:top w:val="none" w:sz="0" w:space="0" w:color="auto"/>
        <w:left w:val="none" w:sz="0" w:space="0" w:color="auto"/>
        <w:bottom w:val="none" w:sz="0" w:space="0" w:color="auto"/>
        <w:right w:val="none" w:sz="0" w:space="0" w:color="auto"/>
      </w:divBdr>
    </w:div>
    <w:div w:id="593634328">
      <w:bodyDiv w:val="1"/>
      <w:marLeft w:val="0"/>
      <w:marRight w:val="0"/>
      <w:marTop w:val="0"/>
      <w:marBottom w:val="0"/>
      <w:divBdr>
        <w:top w:val="none" w:sz="0" w:space="0" w:color="auto"/>
        <w:left w:val="none" w:sz="0" w:space="0" w:color="auto"/>
        <w:bottom w:val="none" w:sz="0" w:space="0" w:color="auto"/>
        <w:right w:val="none" w:sz="0" w:space="0" w:color="auto"/>
      </w:divBdr>
    </w:div>
    <w:div w:id="852917135">
      <w:bodyDiv w:val="1"/>
      <w:marLeft w:val="0"/>
      <w:marRight w:val="0"/>
      <w:marTop w:val="0"/>
      <w:marBottom w:val="0"/>
      <w:divBdr>
        <w:top w:val="none" w:sz="0" w:space="0" w:color="auto"/>
        <w:left w:val="none" w:sz="0" w:space="0" w:color="auto"/>
        <w:bottom w:val="none" w:sz="0" w:space="0" w:color="auto"/>
        <w:right w:val="none" w:sz="0" w:space="0" w:color="auto"/>
      </w:divBdr>
    </w:div>
    <w:div w:id="1105270033">
      <w:bodyDiv w:val="1"/>
      <w:marLeft w:val="0"/>
      <w:marRight w:val="0"/>
      <w:marTop w:val="0"/>
      <w:marBottom w:val="0"/>
      <w:divBdr>
        <w:top w:val="none" w:sz="0" w:space="0" w:color="auto"/>
        <w:left w:val="none" w:sz="0" w:space="0" w:color="auto"/>
        <w:bottom w:val="none" w:sz="0" w:space="0" w:color="auto"/>
        <w:right w:val="none" w:sz="0" w:space="0" w:color="auto"/>
      </w:divBdr>
    </w:div>
    <w:div w:id="1282495356">
      <w:bodyDiv w:val="1"/>
      <w:marLeft w:val="0"/>
      <w:marRight w:val="0"/>
      <w:marTop w:val="0"/>
      <w:marBottom w:val="0"/>
      <w:divBdr>
        <w:top w:val="none" w:sz="0" w:space="0" w:color="auto"/>
        <w:left w:val="none" w:sz="0" w:space="0" w:color="auto"/>
        <w:bottom w:val="none" w:sz="0" w:space="0" w:color="auto"/>
        <w:right w:val="none" w:sz="0" w:space="0" w:color="auto"/>
      </w:divBdr>
      <w:divsChild>
        <w:div w:id="1350640897">
          <w:marLeft w:val="0"/>
          <w:marRight w:val="0"/>
          <w:marTop w:val="0"/>
          <w:marBottom w:val="0"/>
          <w:divBdr>
            <w:top w:val="none" w:sz="0" w:space="0" w:color="auto"/>
            <w:left w:val="none" w:sz="0" w:space="0" w:color="auto"/>
            <w:bottom w:val="none" w:sz="0" w:space="0" w:color="auto"/>
            <w:right w:val="none" w:sz="0" w:space="0" w:color="auto"/>
          </w:divBdr>
        </w:div>
        <w:div w:id="710960603">
          <w:marLeft w:val="0"/>
          <w:marRight w:val="0"/>
          <w:marTop w:val="0"/>
          <w:marBottom w:val="0"/>
          <w:divBdr>
            <w:top w:val="none" w:sz="0" w:space="0" w:color="auto"/>
            <w:left w:val="none" w:sz="0" w:space="0" w:color="auto"/>
            <w:bottom w:val="none" w:sz="0" w:space="0" w:color="auto"/>
            <w:right w:val="none" w:sz="0" w:space="0" w:color="auto"/>
          </w:divBdr>
        </w:div>
        <w:div w:id="1667973247">
          <w:marLeft w:val="0"/>
          <w:marRight w:val="0"/>
          <w:marTop w:val="0"/>
          <w:marBottom w:val="0"/>
          <w:divBdr>
            <w:top w:val="none" w:sz="0" w:space="0" w:color="auto"/>
            <w:left w:val="none" w:sz="0" w:space="0" w:color="auto"/>
            <w:bottom w:val="none" w:sz="0" w:space="0" w:color="auto"/>
            <w:right w:val="none" w:sz="0" w:space="0" w:color="auto"/>
          </w:divBdr>
        </w:div>
        <w:div w:id="1519539576">
          <w:marLeft w:val="0"/>
          <w:marRight w:val="0"/>
          <w:marTop w:val="0"/>
          <w:marBottom w:val="0"/>
          <w:divBdr>
            <w:top w:val="none" w:sz="0" w:space="0" w:color="auto"/>
            <w:left w:val="none" w:sz="0" w:space="0" w:color="auto"/>
            <w:bottom w:val="none" w:sz="0" w:space="0" w:color="auto"/>
            <w:right w:val="none" w:sz="0" w:space="0" w:color="auto"/>
          </w:divBdr>
        </w:div>
        <w:div w:id="237373459">
          <w:marLeft w:val="0"/>
          <w:marRight w:val="0"/>
          <w:marTop w:val="0"/>
          <w:marBottom w:val="0"/>
          <w:divBdr>
            <w:top w:val="none" w:sz="0" w:space="0" w:color="auto"/>
            <w:left w:val="none" w:sz="0" w:space="0" w:color="auto"/>
            <w:bottom w:val="none" w:sz="0" w:space="0" w:color="auto"/>
            <w:right w:val="none" w:sz="0" w:space="0" w:color="auto"/>
          </w:divBdr>
        </w:div>
        <w:div w:id="1079907705">
          <w:marLeft w:val="0"/>
          <w:marRight w:val="0"/>
          <w:marTop w:val="0"/>
          <w:marBottom w:val="0"/>
          <w:divBdr>
            <w:top w:val="none" w:sz="0" w:space="0" w:color="auto"/>
            <w:left w:val="none" w:sz="0" w:space="0" w:color="auto"/>
            <w:bottom w:val="none" w:sz="0" w:space="0" w:color="auto"/>
            <w:right w:val="none" w:sz="0" w:space="0" w:color="auto"/>
          </w:divBdr>
        </w:div>
        <w:div w:id="1753551013">
          <w:marLeft w:val="0"/>
          <w:marRight w:val="0"/>
          <w:marTop w:val="0"/>
          <w:marBottom w:val="0"/>
          <w:divBdr>
            <w:top w:val="none" w:sz="0" w:space="0" w:color="auto"/>
            <w:left w:val="none" w:sz="0" w:space="0" w:color="auto"/>
            <w:bottom w:val="none" w:sz="0" w:space="0" w:color="auto"/>
            <w:right w:val="none" w:sz="0" w:space="0" w:color="auto"/>
          </w:divBdr>
        </w:div>
        <w:div w:id="1408112772">
          <w:marLeft w:val="0"/>
          <w:marRight w:val="0"/>
          <w:marTop w:val="0"/>
          <w:marBottom w:val="0"/>
          <w:divBdr>
            <w:top w:val="none" w:sz="0" w:space="0" w:color="auto"/>
            <w:left w:val="none" w:sz="0" w:space="0" w:color="auto"/>
            <w:bottom w:val="none" w:sz="0" w:space="0" w:color="auto"/>
            <w:right w:val="none" w:sz="0" w:space="0" w:color="auto"/>
          </w:divBdr>
        </w:div>
        <w:div w:id="870386800">
          <w:marLeft w:val="0"/>
          <w:marRight w:val="0"/>
          <w:marTop w:val="0"/>
          <w:marBottom w:val="0"/>
          <w:divBdr>
            <w:top w:val="none" w:sz="0" w:space="0" w:color="auto"/>
            <w:left w:val="none" w:sz="0" w:space="0" w:color="auto"/>
            <w:bottom w:val="none" w:sz="0" w:space="0" w:color="auto"/>
            <w:right w:val="none" w:sz="0" w:space="0" w:color="auto"/>
          </w:divBdr>
        </w:div>
        <w:div w:id="1915771929">
          <w:marLeft w:val="0"/>
          <w:marRight w:val="0"/>
          <w:marTop w:val="0"/>
          <w:marBottom w:val="0"/>
          <w:divBdr>
            <w:top w:val="none" w:sz="0" w:space="0" w:color="auto"/>
            <w:left w:val="none" w:sz="0" w:space="0" w:color="auto"/>
            <w:bottom w:val="none" w:sz="0" w:space="0" w:color="auto"/>
            <w:right w:val="none" w:sz="0" w:space="0" w:color="auto"/>
          </w:divBdr>
        </w:div>
        <w:div w:id="1423263164">
          <w:marLeft w:val="0"/>
          <w:marRight w:val="0"/>
          <w:marTop w:val="0"/>
          <w:marBottom w:val="0"/>
          <w:divBdr>
            <w:top w:val="none" w:sz="0" w:space="0" w:color="auto"/>
            <w:left w:val="none" w:sz="0" w:space="0" w:color="auto"/>
            <w:bottom w:val="none" w:sz="0" w:space="0" w:color="auto"/>
            <w:right w:val="none" w:sz="0" w:space="0" w:color="auto"/>
          </w:divBdr>
        </w:div>
        <w:div w:id="1347706977">
          <w:marLeft w:val="0"/>
          <w:marRight w:val="0"/>
          <w:marTop w:val="0"/>
          <w:marBottom w:val="0"/>
          <w:divBdr>
            <w:top w:val="none" w:sz="0" w:space="0" w:color="auto"/>
            <w:left w:val="none" w:sz="0" w:space="0" w:color="auto"/>
            <w:bottom w:val="none" w:sz="0" w:space="0" w:color="auto"/>
            <w:right w:val="none" w:sz="0" w:space="0" w:color="auto"/>
          </w:divBdr>
        </w:div>
        <w:div w:id="940644432">
          <w:marLeft w:val="0"/>
          <w:marRight w:val="0"/>
          <w:marTop w:val="0"/>
          <w:marBottom w:val="0"/>
          <w:divBdr>
            <w:top w:val="none" w:sz="0" w:space="0" w:color="auto"/>
            <w:left w:val="none" w:sz="0" w:space="0" w:color="auto"/>
            <w:bottom w:val="none" w:sz="0" w:space="0" w:color="auto"/>
            <w:right w:val="none" w:sz="0" w:space="0" w:color="auto"/>
          </w:divBdr>
        </w:div>
        <w:div w:id="623655097">
          <w:marLeft w:val="0"/>
          <w:marRight w:val="0"/>
          <w:marTop w:val="0"/>
          <w:marBottom w:val="0"/>
          <w:divBdr>
            <w:top w:val="none" w:sz="0" w:space="0" w:color="auto"/>
            <w:left w:val="none" w:sz="0" w:space="0" w:color="auto"/>
            <w:bottom w:val="none" w:sz="0" w:space="0" w:color="auto"/>
            <w:right w:val="none" w:sz="0" w:space="0" w:color="auto"/>
          </w:divBdr>
        </w:div>
        <w:div w:id="1876113329">
          <w:marLeft w:val="0"/>
          <w:marRight w:val="0"/>
          <w:marTop w:val="0"/>
          <w:marBottom w:val="0"/>
          <w:divBdr>
            <w:top w:val="none" w:sz="0" w:space="0" w:color="auto"/>
            <w:left w:val="none" w:sz="0" w:space="0" w:color="auto"/>
            <w:bottom w:val="none" w:sz="0" w:space="0" w:color="auto"/>
            <w:right w:val="none" w:sz="0" w:space="0" w:color="auto"/>
          </w:divBdr>
        </w:div>
        <w:div w:id="254483025">
          <w:marLeft w:val="0"/>
          <w:marRight w:val="0"/>
          <w:marTop w:val="0"/>
          <w:marBottom w:val="0"/>
          <w:divBdr>
            <w:top w:val="none" w:sz="0" w:space="0" w:color="auto"/>
            <w:left w:val="none" w:sz="0" w:space="0" w:color="auto"/>
            <w:bottom w:val="none" w:sz="0" w:space="0" w:color="auto"/>
            <w:right w:val="none" w:sz="0" w:space="0" w:color="auto"/>
          </w:divBdr>
        </w:div>
        <w:div w:id="861018796">
          <w:marLeft w:val="0"/>
          <w:marRight w:val="0"/>
          <w:marTop w:val="0"/>
          <w:marBottom w:val="0"/>
          <w:divBdr>
            <w:top w:val="none" w:sz="0" w:space="0" w:color="auto"/>
            <w:left w:val="none" w:sz="0" w:space="0" w:color="auto"/>
            <w:bottom w:val="none" w:sz="0" w:space="0" w:color="auto"/>
            <w:right w:val="none" w:sz="0" w:space="0" w:color="auto"/>
          </w:divBdr>
        </w:div>
        <w:div w:id="987174329">
          <w:marLeft w:val="0"/>
          <w:marRight w:val="0"/>
          <w:marTop w:val="0"/>
          <w:marBottom w:val="0"/>
          <w:divBdr>
            <w:top w:val="none" w:sz="0" w:space="0" w:color="auto"/>
            <w:left w:val="none" w:sz="0" w:space="0" w:color="auto"/>
            <w:bottom w:val="none" w:sz="0" w:space="0" w:color="auto"/>
            <w:right w:val="none" w:sz="0" w:space="0" w:color="auto"/>
          </w:divBdr>
        </w:div>
        <w:div w:id="387266619">
          <w:marLeft w:val="0"/>
          <w:marRight w:val="0"/>
          <w:marTop w:val="0"/>
          <w:marBottom w:val="0"/>
          <w:divBdr>
            <w:top w:val="none" w:sz="0" w:space="0" w:color="auto"/>
            <w:left w:val="none" w:sz="0" w:space="0" w:color="auto"/>
            <w:bottom w:val="none" w:sz="0" w:space="0" w:color="auto"/>
            <w:right w:val="none" w:sz="0" w:space="0" w:color="auto"/>
          </w:divBdr>
        </w:div>
        <w:div w:id="893466809">
          <w:marLeft w:val="0"/>
          <w:marRight w:val="0"/>
          <w:marTop w:val="0"/>
          <w:marBottom w:val="0"/>
          <w:divBdr>
            <w:top w:val="none" w:sz="0" w:space="0" w:color="auto"/>
            <w:left w:val="none" w:sz="0" w:space="0" w:color="auto"/>
            <w:bottom w:val="none" w:sz="0" w:space="0" w:color="auto"/>
            <w:right w:val="none" w:sz="0" w:space="0" w:color="auto"/>
          </w:divBdr>
        </w:div>
        <w:div w:id="455683593">
          <w:marLeft w:val="0"/>
          <w:marRight w:val="0"/>
          <w:marTop w:val="0"/>
          <w:marBottom w:val="0"/>
          <w:divBdr>
            <w:top w:val="none" w:sz="0" w:space="0" w:color="auto"/>
            <w:left w:val="none" w:sz="0" w:space="0" w:color="auto"/>
            <w:bottom w:val="none" w:sz="0" w:space="0" w:color="auto"/>
            <w:right w:val="none" w:sz="0" w:space="0" w:color="auto"/>
          </w:divBdr>
        </w:div>
        <w:div w:id="794257947">
          <w:marLeft w:val="0"/>
          <w:marRight w:val="0"/>
          <w:marTop w:val="0"/>
          <w:marBottom w:val="0"/>
          <w:divBdr>
            <w:top w:val="none" w:sz="0" w:space="0" w:color="auto"/>
            <w:left w:val="none" w:sz="0" w:space="0" w:color="auto"/>
            <w:bottom w:val="none" w:sz="0" w:space="0" w:color="auto"/>
            <w:right w:val="none" w:sz="0" w:space="0" w:color="auto"/>
          </w:divBdr>
        </w:div>
        <w:div w:id="1128935923">
          <w:marLeft w:val="0"/>
          <w:marRight w:val="0"/>
          <w:marTop w:val="0"/>
          <w:marBottom w:val="0"/>
          <w:divBdr>
            <w:top w:val="none" w:sz="0" w:space="0" w:color="auto"/>
            <w:left w:val="none" w:sz="0" w:space="0" w:color="auto"/>
            <w:bottom w:val="none" w:sz="0" w:space="0" w:color="auto"/>
            <w:right w:val="none" w:sz="0" w:space="0" w:color="auto"/>
          </w:divBdr>
        </w:div>
        <w:div w:id="1496217714">
          <w:marLeft w:val="0"/>
          <w:marRight w:val="0"/>
          <w:marTop w:val="0"/>
          <w:marBottom w:val="0"/>
          <w:divBdr>
            <w:top w:val="none" w:sz="0" w:space="0" w:color="auto"/>
            <w:left w:val="none" w:sz="0" w:space="0" w:color="auto"/>
            <w:bottom w:val="none" w:sz="0" w:space="0" w:color="auto"/>
            <w:right w:val="none" w:sz="0" w:space="0" w:color="auto"/>
          </w:divBdr>
        </w:div>
        <w:div w:id="668679360">
          <w:marLeft w:val="0"/>
          <w:marRight w:val="0"/>
          <w:marTop w:val="0"/>
          <w:marBottom w:val="0"/>
          <w:divBdr>
            <w:top w:val="none" w:sz="0" w:space="0" w:color="auto"/>
            <w:left w:val="none" w:sz="0" w:space="0" w:color="auto"/>
            <w:bottom w:val="none" w:sz="0" w:space="0" w:color="auto"/>
            <w:right w:val="none" w:sz="0" w:space="0" w:color="auto"/>
          </w:divBdr>
        </w:div>
        <w:div w:id="757941601">
          <w:marLeft w:val="0"/>
          <w:marRight w:val="0"/>
          <w:marTop w:val="0"/>
          <w:marBottom w:val="0"/>
          <w:divBdr>
            <w:top w:val="none" w:sz="0" w:space="0" w:color="auto"/>
            <w:left w:val="none" w:sz="0" w:space="0" w:color="auto"/>
            <w:bottom w:val="none" w:sz="0" w:space="0" w:color="auto"/>
            <w:right w:val="none" w:sz="0" w:space="0" w:color="auto"/>
          </w:divBdr>
        </w:div>
        <w:div w:id="1324317482">
          <w:marLeft w:val="0"/>
          <w:marRight w:val="0"/>
          <w:marTop w:val="0"/>
          <w:marBottom w:val="0"/>
          <w:divBdr>
            <w:top w:val="none" w:sz="0" w:space="0" w:color="auto"/>
            <w:left w:val="none" w:sz="0" w:space="0" w:color="auto"/>
            <w:bottom w:val="none" w:sz="0" w:space="0" w:color="auto"/>
            <w:right w:val="none" w:sz="0" w:space="0" w:color="auto"/>
          </w:divBdr>
        </w:div>
        <w:div w:id="510097998">
          <w:marLeft w:val="0"/>
          <w:marRight w:val="0"/>
          <w:marTop w:val="0"/>
          <w:marBottom w:val="0"/>
          <w:divBdr>
            <w:top w:val="none" w:sz="0" w:space="0" w:color="auto"/>
            <w:left w:val="none" w:sz="0" w:space="0" w:color="auto"/>
            <w:bottom w:val="none" w:sz="0" w:space="0" w:color="auto"/>
            <w:right w:val="none" w:sz="0" w:space="0" w:color="auto"/>
          </w:divBdr>
        </w:div>
        <w:div w:id="608053620">
          <w:marLeft w:val="0"/>
          <w:marRight w:val="0"/>
          <w:marTop w:val="0"/>
          <w:marBottom w:val="0"/>
          <w:divBdr>
            <w:top w:val="none" w:sz="0" w:space="0" w:color="auto"/>
            <w:left w:val="none" w:sz="0" w:space="0" w:color="auto"/>
            <w:bottom w:val="none" w:sz="0" w:space="0" w:color="auto"/>
            <w:right w:val="none" w:sz="0" w:space="0" w:color="auto"/>
          </w:divBdr>
        </w:div>
        <w:div w:id="1170221494">
          <w:marLeft w:val="0"/>
          <w:marRight w:val="0"/>
          <w:marTop w:val="0"/>
          <w:marBottom w:val="0"/>
          <w:divBdr>
            <w:top w:val="none" w:sz="0" w:space="0" w:color="auto"/>
            <w:left w:val="none" w:sz="0" w:space="0" w:color="auto"/>
            <w:bottom w:val="none" w:sz="0" w:space="0" w:color="auto"/>
            <w:right w:val="none" w:sz="0" w:space="0" w:color="auto"/>
          </w:divBdr>
        </w:div>
        <w:div w:id="980498355">
          <w:marLeft w:val="0"/>
          <w:marRight w:val="0"/>
          <w:marTop w:val="0"/>
          <w:marBottom w:val="0"/>
          <w:divBdr>
            <w:top w:val="none" w:sz="0" w:space="0" w:color="auto"/>
            <w:left w:val="none" w:sz="0" w:space="0" w:color="auto"/>
            <w:bottom w:val="none" w:sz="0" w:space="0" w:color="auto"/>
            <w:right w:val="none" w:sz="0" w:space="0" w:color="auto"/>
          </w:divBdr>
        </w:div>
        <w:div w:id="420028769">
          <w:marLeft w:val="0"/>
          <w:marRight w:val="0"/>
          <w:marTop w:val="0"/>
          <w:marBottom w:val="0"/>
          <w:divBdr>
            <w:top w:val="none" w:sz="0" w:space="0" w:color="auto"/>
            <w:left w:val="none" w:sz="0" w:space="0" w:color="auto"/>
            <w:bottom w:val="none" w:sz="0" w:space="0" w:color="auto"/>
            <w:right w:val="none" w:sz="0" w:space="0" w:color="auto"/>
          </w:divBdr>
        </w:div>
        <w:div w:id="415516910">
          <w:marLeft w:val="0"/>
          <w:marRight w:val="0"/>
          <w:marTop w:val="0"/>
          <w:marBottom w:val="0"/>
          <w:divBdr>
            <w:top w:val="none" w:sz="0" w:space="0" w:color="auto"/>
            <w:left w:val="none" w:sz="0" w:space="0" w:color="auto"/>
            <w:bottom w:val="none" w:sz="0" w:space="0" w:color="auto"/>
            <w:right w:val="none" w:sz="0" w:space="0" w:color="auto"/>
          </w:divBdr>
        </w:div>
        <w:div w:id="804397153">
          <w:marLeft w:val="0"/>
          <w:marRight w:val="0"/>
          <w:marTop w:val="0"/>
          <w:marBottom w:val="0"/>
          <w:divBdr>
            <w:top w:val="none" w:sz="0" w:space="0" w:color="auto"/>
            <w:left w:val="none" w:sz="0" w:space="0" w:color="auto"/>
            <w:bottom w:val="none" w:sz="0" w:space="0" w:color="auto"/>
            <w:right w:val="none" w:sz="0" w:space="0" w:color="auto"/>
          </w:divBdr>
        </w:div>
        <w:div w:id="1907952484">
          <w:marLeft w:val="0"/>
          <w:marRight w:val="0"/>
          <w:marTop w:val="0"/>
          <w:marBottom w:val="0"/>
          <w:divBdr>
            <w:top w:val="none" w:sz="0" w:space="0" w:color="auto"/>
            <w:left w:val="none" w:sz="0" w:space="0" w:color="auto"/>
            <w:bottom w:val="none" w:sz="0" w:space="0" w:color="auto"/>
            <w:right w:val="none" w:sz="0" w:space="0" w:color="auto"/>
          </w:divBdr>
        </w:div>
        <w:div w:id="1941646169">
          <w:marLeft w:val="0"/>
          <w:marRight w:val="0"/>
          <w:marTop w:val="0"/>
          <w:marBottom w:val="0"/>
          <w:divBdr>
            <w:top w:val="none" w:sz="0" w:space="0" w:color="auto"/>
            <w:left w:val="none" w:sz="0" w:space="0" w:color="auto"/>
            <w:bottom w:val="none" w:sz="0" w:space="0" w:color="auto"/>
            <w:right w:val="none" w:sz="0" w:space="0" w:color="auto"/>
          </w:divBdr>
        </w:div>
        <w:div w:id="1085416957">
          <w:marLeft w:val="0"/>
          <w:marRight w:val="0"/>
          <w:marTop w:val="0"/>
          <w:marBottom w:val="0"/>
          <w:divBdr>
            <w:top w:val="none" w:sz="0" w:space="0" w:color="auto"/>
            <w:left w:val="none" w:sz="0" w:space="0" w:color="auto"/>
            <w:bottom w:val="none" w:sz="0" w:space="0" w:color="auto"/>
            <w:right w:val="none" w:sz="0" w:space="0" w:color="auto"/>
          </w:divBdr>
        </w:div>
        <w:div w:id="1726757653">
          <w:marLeft w:val="0"/>
          <w:marRight w:val="0"/>
          <w:marTop w:val="0"/>
          <w:marBottom w:val="0"/>
          <w:divBdr>
            <w:top w:val="none" w:sz="0" w:space="0" w:color="auto"/>
            <w:left w:val="none" w:sz="0" w:space="0" w:color="auto"/>
            <w:bottom w:val="none" w:sz="0" w:space="0" w:color="auto"/>
            <w:right w:val="none" w:sz="0" w:space="0" w:color="auto"/>
          </w:divBdr>
        </w:div>
        <w:div w:id="118839334">
          <w:marLeft w:val="0"/>
          <w:marRight w:val="0"/>
          <w:marTop w:val="0"/>
          <w:marBottom w:val="0"/>
          <w:divBdr>
            <w:top w:val="none" w:sz="0" w:space="0" w:color="auto"/>
            <w:left w:val="none" w:sz="0" w:space="0" w:color="auto"/>
            <w:bottom w:val="none" w:sz="0" w:space="0" w:color="auto"/>
            <w:right w:val="none" w:sz="0" w:space="0" w:color="auto"/>
          </w:divBdr>
        </w:div>
        <w:div w:id="1230382636">
          <w:marLeft w:val="0"/>
          <w:marRight w:val="0"/>
          <w:marTop w:val="0"/>
          <w:marBottom w:val="0"/>
          <w:divBdr>
            <w:top w:val="none" w:sz="0" w:space="0" w:color="auto"/>
            <w:left w:val="none" w:sz="0" w:space="0" w:color="auto"/>
            <w:bottom w:val="none" w:sz="0" w:space="0" w:color="auto"/>
            <w:right w:val="none" w:sz="0" w:space="0" w:color="auto"/>
          </w:divBdr>
        </w:div>
        <w:div w:id="898900179">
          <w:marLeft w:val="0"/>
          <w:marRight w:val="0"/>
          <w:marTop w:val="0"/>
          <w:marBottom w:val="0"/>
          <w:divBdr>
            <w:top w:val="none" w:sz="0" w:space="0" w:color="auto"/>
            <w:left w:val="none" w:sz="0" w:space="0" w:color="auto"/>
            <w:bottom w:val="none" w:sz="0" w:space="0" w:color="auto"/>
            <w:right w:val="none" w:sz="0" w:space="0" w:color="auto"/>
          </w:divBdr>
        </w:div>
        <w:div w:id="1997492996">
          <w:marLeft w:val="0"/>
          <w:marRight w:val="0"/>
          <w:marTop w:val="0"/>
          <w:marBottom w:val="0"/>
          <w:divBdr>
            <w:top w:val="none" w:sz="0" w:space="0" w:color="auto"/>
            <w:left w:val="none" w:sz="0" w:space="0" w:color="auto"/>
            <w:bottom w:val="none" w:sz="0" w:space="0" w:color="auto"/>
            <w:right w:val="none" w:sz="0" w:space="0" w:color="auto"/>
          </w:divBdr>
        </w:div>
        <w:div w:id="1849564071">
          <w:marLeft w:val="0"/>
          <w:marRight w:val="0"/>
          <w:marTop w:val="0"/>
          <w:marBottom w:val="0"/>
          <w:divBdr>
            <w:top w:val="none" w:sz="0" w:space="0" w:color="auto"/>
            <w:left w:val="none" w:sz="0" w:space="0" w:color="auto"/>
            <w:bottom w:val="none" w:sz="0" w:space="0" w:color="auto"/>
            <w:right w:val="none" w:sz="0" w:space="0" w:color="auto"/>
          </w:divBdr>
        </w:div>
        <w:div w:id="229390499">
          <w:marLeft w:val="0"/>
          <w:marRight w:val="0"/>
          <w:marTop w:val="0"/>
          <w:marBottom w:val="0"/>
          <w:divBdr>
            <w:top w:val="none" w:sz="0" w:space="0" w:color="auto"/>
            <w:left w:val="none" w:sz="0" w:space="0" w:color="auto"/>
            <w:bottom w:val="none" w:sz="0" w:space="0" w:color="auto"/>
            <w:right w:val="none" w:sz="0" w:space="0" w:color="auto"/>
          </w:divBdr>
        </w:div>
        <w:div w:id="1717002363">
          <w:marLeft w:val="0"/>
          <w:marRight w:val="0"/>
          <w:marTop w:val="0"/>
          <w:marBottom w:val="0"/>
          <w:divBdr>
            <w:top w:val="none" w:sz="0" w:space="0" w:color="auto"/>
            <w:left w:val="none" w:sz="0" w:space="0" w:color="auto"/>
            <w:bottom w:val="none" w:sz="0" w:space="0" w:color="auto"/>
            <w:right w:val="none" w:sz="0" w:space="0" w:color="auto"/>
          </w:divBdr>
        </w:div>
        <w:div w:id="1295063899">
          <w:marLeft w:val="0"/>
          <w:marRight w:val="0"/>
          <w:marTop w:val="0"/>
          <w:marBottom w:val="0"/>
          <w:divBdr>
            <w:top w:val="none" w:sz="0" w:space="0" w:color="auto"/>
            <w:left w:val="none" w:sz="0" w:space="0" w:color="auto"/>
            <w:bottom w:val="none" w:sz="0" w:space="0" w:color="auto"/>
            <w:right w:val="none" w:sz="0" w:space="0" w:color="auto"/>
          </w:divBdr>
        </w:div>
        <w:div w:id="276185237">
          <w:marLeft w:val="0"/>
          <w:marRight w:val="0"/>
          <w:marTop w:val="0"/>
          <w:marBottom w:val="0"/>
          <w:divBdr>
            <w:top w:val="none" w:sz="0" w:space="0" w:color="auto"/>
            <w:left w:val="none" w:sz="0" w:space="0" w:color="auto"/>
            <w:bottom w:val="none" w:sz="0" w:space="0" w:color="auto"/>
            <w:right w:val="none" w:sz="0" w:space="0" w:color="auto"/>
          </w:divBdr>
        </w:div>
        <w:div w:id="264390946">
          <w:marLeft w:val="0"/>
          <w:marRight w:val="0"/>
          <w:marTop w:val="0"/>
          <w:marBottom w:val="0"/>
          <w:divBdr>
            <w:top w:val="none" w:sz="0" w:space="0" w:color="auto"/>
            <w:left w:val="none" w:sz="0" w:space="0" w:color="auto"/>
            <w:bottom w:val="none" w:sz="0" w:space="0" w:color="auto"/>
            <w:right w:val="none" w:sz="0" w:space="0" w:color="auto"/>
          </w:divBdr>
        </w:div>
        <w:div w:id="1104302251">
          <w:marLeft w:val="0"/>
          <w:marRight w:val="0"/>
          <w:marTop w:val="0"/>
          <w:marBottom w:val="0"/>
          <w:divBdr>
            <w:top w:val="none" w:sz="0" w:space="0" w:color="auto"/>
            <w:left w:val="none" w:sz="0" w:space="0" w:color="auto"/>
            <w:bottom w:val="none" w:sz="0" w:space="0" w:color="auto"/>
            <w:right w:val="none" w:sz="0" w:space="0" w:color="auto"/>
          </w:divBdr>
        </w:div>
        <w:div w:id="728694947">
          <w:marLeft w:val="0"/>
          <w:marRight w:val="0"/>
          <w:marTop w:val="0"/>
          <w:marBottom w:val="0"/>
          <w:divBdr>
            <w:top w:val="none" w:sz="0" w:space="0" w:color="auto"/>
            <w:left w:val="none" w:sz="0" w:space="0" w:color="auto"/>
            <w:bottom w:val="none" w:sz="0" w:space="0" w:color="auto"/>
            <w:right w:val="none" w:sz="0" w:space="0" w:color="auto"/>
          </w:divBdr>
        </w:div>
        <w:div w:id="2085182006">
          <w:marLeft w:val="0"/>
          <w:marRight w:val="0"/>
          <w:marTop w:val="0"/>
          <w:marBottom w:val="0"/>
          <w:divBdr>
            <w:top w:val="none" w:sz="0" w:space="0" w:color="auto"/>
            <w:left w:val="none" w:sz="0" w:space="0" w:color="auto"/>
            <w:bottom w:val="none" w:sz="0" w:space="0" w:color="auto"/>
            <w:right w:val="none" w:sz="0" w:space="0" w:color="auto"/>
          </w:divBdr>
        </w:div>
        <w:div w:id="1297760137">
          <w:marLeft w:val="0"/>
          <w:marRight w:val="0"/>
          <w:marTop w:val="0"/>
          <w:marBottom w:val="0"/>
          <w:divBdr>
            <w:top w:val="none" w:sz="0" w:space="0" w:color="auto"/>
            <w:left w:val="none" w:sz="0" w:space="0" w:color="auto"/>
            <w:bottom w:val="none" w:sz="0" w:space="0" w:color="auto"/>
            <w:right w:val="none" w:sz="0" w:space="0" w:color="auto"/>
          </w:divBdr>
        </w:div>
        <w:div w:id="130951451">
          <w:marLeft w:val="0"/>
          <w:marRight w:val="0"/>
          <w:marTop w:val="0"/>
          <w:marBottom w:val="0"/>
          <w:divBdr>
            <w:top w:val="none" w:sz="0" w:space="0" w:color="auto"/>
            <w:left w:val="none" w:sz="0" w:space="0" w:color="auto"/>
            <w:bottom w:val="none" w:sz="0" w:space="0" w:color="auto"/>
            <w:right w:val="none" w:sz="0" w:space="0" w:color="auto"/>
          </w:divBdr>
        </w:div>
        <w:div w:id="1234585611">
          <w:marLeft w:val="0"/>
          <w:marRight w:val="0"/>
          <w:marTop w:val="0"/>
          <w:marBottom w:val="0"/>
          <w:divBdr>
            <w:top w:val="none" w:sz="0" w:space="0" w:color="auto"/>
            <w:left w:val="none" w:sz="0" w:space="0" w:color="auto"/>
            <w:bottom w:val="none" w:sz="0" w:space="0" w:color="auto"/>
            <w:right w:val="none" w:sz="0" w:space="0" w:color="auto"/>
          </w:divBdr>
        </w:div>
        <w:div w:id="1732268095">
          <w:marLeft w:val="0"/>
          <w:marRight w:val="0"/>
          <w:marTop w:val="0"/>
          <w:marBottom w:val="0"/>
          <w:divBdr>
            <w:top w:val="none" w:sz="0" w:space="0" w:color="auto"/>
            <w:left w:val="none" w:sz="0" w:space="0" w:color="auto"/>
            <w:bottom w:val="none" w:sz="0" w:space="0" w:color="auto"/>
            <w:right w:val="none" w:sz="0" w:space="0" w:color="auto"/>
          </w:divBdr>
        </w:div>
        <w:div w:id="402528528">
          <w:marLeft w:val="0"/>
          <w:marRight w:val="0"/>
          <w:marTop w:val="0"/>
          <w:marBottom w:val="0"/>
          <w:divBdr>
            <w:top w:val="none" w:sz="0" w:space="0" w:color="auto"/>
            <w:left w:val="none" w:sz="0" w:space="0" w:color="auto"/>
            <w:bottom w:val="none" w:sz="0" w:space="0" w:color="auto"/>
            <w:right w:val="none" w:sz="0" w:space="0" w:color="auto"/>
          </w:divBdr>
        </w:div>
        <w:div w:id="1708607569">
          <w:marLeft w:val="0"/>
          <w:marRight w:val="0"/>
          <w:marTop w:val="0"/>
          <w:marBottom w:val="0"/>
          <w:divBdr>
            <w:top w:val="none" w:sz="0" w:space="0" w:color="auto"/>
            <w:left w:val="none" w:sz="0" w:space="0" w:color="auto"/>
            <w:bottom w:val="none" w:sz="0" w:space="0" w:color="auto"/>
            <w:right w:val="none" w:sz="0" w:space="0" w:color="auto"/>
          </w:divBdr>
        </w:div>
        <w:div w:id="2007515135">
          <w:marLeft w:val="0"/>
          <w:marRight w:val="0"/>
          <w:marTop w:val="0"/>
          <w:marBottom w:val="0"/>
          <w:divBdr>
            <w:top w:val="none" w:sz="0" w:space="0" w:color="auto"/>
            <w:left w:val="none" w:sz="0" w:space="0" w:color="auto"/>
            <w:bottom w:val="none" w:sz="0" w:space="0" w:color="auto"/>
            <w:right w:val="none" w:sz="0" w:space="0" w:color="auto"/>
          </w:divBdr>
        </w:div>
        <w:div w:id="1836215943">
          <w:marLeft w:val="0"/>
          <w:marRight w:val="0"/>
          <w:marTop w:val="0"/>
          <w:marBottom w:val="0"/>
          <w:divBdr>
            <w:top w:val="none" w:sz="0" w:space="0" w:color="auto"/>
            <w:left w:val="none" w:sz="0" w:space="0" w:color="auto"/>
            <w:bottom w:val="none" w:sz="0" w:space="0" w:color="auto"/>
            <w:right w:val="none" w:sz="0" w:space="0" w:color="auto"/>
          </w:divBdr>
        </w:div>
        <w:div w:id="1694305715">
          <w:marLeft w:val="0"/>
          <w:marRight w:val="0"/>
          <w:marTop w:val="0"/>
          <w:marBottom w:val="0"/>
          <w:divBdr>
            <w:top w:val="none" w:sz="0" w:space="0" w:color="auto"/>
            <w:left w:val="none" w:sz="0" w:space="0" w:color="auto"/>
            <w:bottom w:val="none" w:sz="0" w:space="0" w:color="auto"/>
            <w:right w:val="none" w:sz="0" w:space="0" w:color="auto"/>
          </w:divBdr>
        </w:div>
        <w:div w:id="316032162">
          <w:marLeft w:val="0"/>
          <w:marRight w:val="0"/>
          <w:marTop w:val="0"/>
          <w:marBottom w:val="0"/>
          <w:divBdr>
            <w:top w:val="none" w:sz="0" w:space="0" w:color="auto"/>
            <w:left w:val="none" w:sz="0" w:space="0" w:color="auto"/>
            <w:bottom w:val="none" w:sz="0" w:space="0" w:color="auto"/>
            <w:right w:val="none" w:sz="0" w:space="0" w:color="auto"/>
          </w:divBdr>
        </w:div>
        <w:div w:id="470679972">
          <w:marLeft w:val="0"/>
          <w:marRight w:val="0"/>
          <w:marTop w:val="0"/>
          <w:marBottom w:val="0"/>
          <w:divBdr>
            <w:top w:val="none" w:sz="0" w:space="0" w:color="auto"/>
            <w:left w:val="none" w:sz="0" w:space="0" w:color="auto"/>
            <w:bottom w:val="none" w:sz="0" w:space="0" w:color="auto"/>
            <w:right w:val="none" w:sz="0" w:space="0" w:color="auto"/>
          </w:divBdr>
        </w:div>
        <w:div w:id="1700661660">
          <w:marLeft w:val="0"/>
          <w:marRight w:val="0"/>
          <w:marTop w:val="0"/>
          <w:marBottom w:val="0"/>
          <w:divBdr>
            <w:top w:val="none" w:sz="0" w:space="0" w:color="auto"/>
            <w:left w:val="none" w:sz="0" w:space="0" w:color="auto"/>
            <w:bottom w:val="none" w:sz="0" w:space="0" w:color="auto"/>
            <w:right w:val="none" w:sz="0" w:space="0" w:color="auto"/>
          </w:divBdr>
        </w:div>
        <w:div w:id="1076124629">
          <w:marLeft w:val="0"/>
          <w:marRight w:val="0"/>
          <w:marTop w:val="0"/>
          <w:marBottom w:val="0"/>
          <w:divBdr>
            <w:top w:val="none" w:sz="0" w:space="0" w:color="auto"/>
            <w:left w:val="none" w:sz="0" w:space="0" w:color="auto"/>
            <w:bottom w:val="none" w:sz="0" w:space="0" w:color="auto"/>
            <w:right w:val="none" w:sz="0" w:space="0" w:color="auto"/>
          </w:divBdr>
        </w:div>
        <w:div w:id="886259860">
          <w:marLeft w:val="0"/>
          <w:marRight w:val="0"/>
          <w:marTop w:val="0"/>
          <w:marBottom w:val="0"/>
          <w:divBdr>
            <w:top w:val="none" w:sz="0" w:space="0" w:color="auto"/>
            <w:left w:val="none" w:sz="0" w:space="0" w:color="auto"/>
            <w:bottom w:val="none" w:sz="0" w:space="0" w:color="auto"/>
            <w:right w:val="none" w:sz="0" w:space="0" w:color="auto"/>
          </w:divBdr>
        </w:div>
        <w:div w:id="1144929856">
          <w:marLeft w:val="0"/>
          <w:marRight w:val="0"/>
          <w:marTop w:val="0"/>
          <w:marBottom w:val="0"/>
          <w:divBdr>
            <w:top w:val="none" w:sz="0" w:space="0" w:color="auto"/>
            <w:left w:val="none" w:sz="0" w:space="0" w:color="auto"/>
            <w:bottom w:val="none" w:sz="0" w:space="0" w:color="auto"/>
            <w:right w:val="none" w:sz="0" w:space="0" w:color="auto"/>
          </w:divBdr>
        </w:div>
        <w:div w:id="538707479">
          <w:marLeft w:val="0"/>
          <w:marRight w:val="0"/>
          <w:marTop w:val="0"/>
          <w:marBottom w:val="0"/>
          <w:divBdr>
            <w:top w:val="none" w:sz="0" w:space="0" w:color="auto"/>
            <w:left w:val="none" w:sz="0" w:space="0" w:color="auto"/>
            <w:bottom w:val="none" w:sz="0" w:space="0" w:color="auto"/>
            <w:right w:val="none" w:sz="0" w:space="0" w:color="auto"/>
          </w:divBdr>
        </w:div>
        <w:div w:id="702705670">
          <w:marLeft w:val="0"/>
          <w:marRight w:val="0"/>
          <w:marTop w:val="0"/>
          <w:marBottom w:val="0"/>
          <w:divBdr>
            <w:top w:val="none" w:sz="0" w:space="0" w:color="auto"/>
            <w:left w:val="none" w:sz="0" w:space="0" w:color="auto"/>
            <w:bottom w:val="none" w:sz="0" w:space="0" w:color="auto"/>
            <w:right w:val="none" w:sz="0" w:space="0" w:color="auto"/>
          </w:divBdr>
        </w:div>
        <w:div w:id="2073891349">
          <w:marLeft w:val="0"/>
          <w:marRight w:val="0"/>
          <w:marTop w:val="0"/>
          <w:marBottom w:val="0"/>
          <w:divBdr>
            <w:top w:val="none" w:sz="0" w:space="0" w:color="auto"/>
            <w:left w:val="none" w:sz="0" w:space="0" w:color="auto"/>
            <w:bottom w:val="none" w:sz="0" w:space="0" w:color="auto"/>
            <w:right w:val="none" w:sz="0" w:space="0" w:color="auto"/>
          </w:divBdr>
        </w:div>
        <w:div w:id="282277117">
          <w:marLeft w:val="0"/>
          <w:marRight w:val="0"/>
          <w:marTop w:val="0"/>
          <w:marBottom w:val="0"/>
          <w:divBdr>
            <w:top w:val="none" w:sz="0" w:space="0" w:color="auto"/>
            <w:left w:val="none" w:sz="0" w:space="0" w:color="auto"/>
            <w:bottom w:val="none" w:sz="0" w:space="0" w:color="auto"/>
            <w:right w:val="none" w:sz="0" w:space="0" w:color="auto"/>
          </w:divBdr>
        </w:div>
        <w:div w:id="740325181">
          <w:marLeft w:val="0"/>
          <w:marRight w:val="0"/>
          <w:marTop w:val="0"/>
          <w:marBottom w:val="0"/>
          <w:divBdr>
            <w:top w:val="none" w:sz="0" w:space="0" w:color="auto"/>
            <w:left w:val="none" w:sz="0" w:space="0" w:color="auto"/>
            <w:bottom w:val="none" w:sz="0" w:space="0" w:color="auto"/>
            <w:right w:val="none" w:sz="0" w:space="0" w:color="auto"/>
          </w:divBdr>
        </w:div>
        <w:div w:id="1890990759">
          <w:marLeft w:val="0"/>
          <w:marRight w:val="0"/>
          <w:marTop w:val="0"/>
          <w:marBottom w:val="0"/>
          <w:divBdr>
            <w:top w:val="none" w:sz="0" w:space="0" w:color="auto"/>
            <w:left w:val="none" w:sz="0" w:space="0" w:color="auto"/>
            <w:bottom w:val="none" w:sz="0" w:space="0" w:color="auto"/>
            <w:right w:val="none" w:sz="0" w:space="0" w:color="auto"/>
          </w:divBdr>
        </w:div>
        <w:div w:id="757212266">
          <w:marLeft w:val="0"/>
          <w:marRight w:val="0"/>
          <w:marTop w:val="0"/>
          <w:marBottom w:val="0"/>
          <w:divBdr>
            <w:top w:val="none" w:sz="0" w:space="0" w:color="auto"/>
            <w:left w:val="none" w:sz="0" w:space="0" w:color="auto"/>
            <w:bottom w:val="none" w:sz="0" w:space="0" w:color="auto"/>
            <w:right w:val="none" w:sz="0" w:space="0" w:color="auto"/>
          </w:divBdr>
        </w:div>
        <w:div w:id="2120101174">
          <w:marLeft w:val="0"/>
          <w:marRight w:val="0"/>
          <w:marTop w:val="0"/>
          <w:marBottom w:val="0"/>
          <w:divBdr>
            <w:top w:val="none" w:sz="0" w:space="0" w:color="auto"/>
            <w:left w:val="none" w:sz="0" w:space="0" w:color="auto"/>
            <w:bottom w:val="none" w:sz="0" w:space="0" w:color="auto"/>
            <w:right w:val="none" w:sz="0" w:space="0" w:color="auto"/>
          </w:divBdr>
        </w:div>
        <w:div w:id="959796538">
          <w:marLeft w:val="0"/>
          <w:marRight w:val="0"/>
          <w:marTop w:val="0"/>
          <w:marBottom w:val="0"/>
          <w:divBdr>
            <w:top w:val="none" w:sz="0" w:space="0" w:color="auto"/>
            <w:left w:val="none" w:sz="0" w:space="0" w:color="auto"/>
            <w:bottom w:val="none" w:sz="0" w:space="0" w:color="auto"/>
            <w:right w:val="none" w:sz="0" w:space="0" w:color="auto"/>
          </w:divBdr>
        </w:div>
        <w:div w:id="1516724875">
          <w:marLeft w:val="0"/>
          <w:marRight w:val="0"/>
          <w:marTop w:val="0"/>
          <w:marBottom w:val="0"/>
          <w:divBdr>
            <w:top w:val="none" w:sz="0" w:space="0" w:color="auto"/>
            <w:left w:val="none" w:sz="0" w:space="0" w:color="auto"/>
            <w:bottom w:val="none" w:sz="0" w:space="0" w:color="auto"/>
            <w:right w:val="none" w:sz="0" w:space="0" w:color="auto"/>
          </w:divBdr>
        </w:div>
        <w:div w:id="1620604709">
          <w:marLeft w:val="0"/>
          <w:marRight w:val="0"/>
          <w:marTop w:val="0"/>
          <w:marBottom w:val="0"/>
          <w:divBdr>
            <w:top w:val="none" w:sz="0" w:space="0" w:color="auto"/>
            <w:left w:val="none" w:sz="0" w:space="0" w:color="auto"/>
            <w:bottom w:val="none" w:sz="0" w:space="0" w:color="auto"/>
            <w:right w:val="none" w:sz="0" w:space="0" w:color="auto"/>
          </w:divBdr>
        </w:div>
        <w:div w:id="528642714">
          <w:marLeft w:val="0"/>
          <w:marRight w:val="0"/>
          <w:marTop w:val="0"/>
          <w:marBottom w:val="0"/>
          <w:divBdr>
            <w:top w:val="none" w:sz="0" w:space="0" w:color="auto"/>
            <w:left w:val="none" w:sz="0" w:space="0" w:color="auto"/>
            <w:bottom w:val="none" w:sz="0" w:space="0" w:color="auto"/>
            <w:right w:val="none" w:sz="0" w:space="0" w:color="auto"/>
          </w:divBdr>
        </w:div>
        <w:div w:id="1539052123">
          <w:marLeft w:val="0"/>
          <w:marRight w:val="0"/>
          <w:marTop w:val="0"/>
          <w:marBottom w:val="0"/>
          <w:divBdr>
            <w:top w:val="none" w:sz="0" w:space="0" w:color="auto"/>
            <w:left w:val="none" w:sz="0" w:space="0" w:color="auto"/>
            <w:bottom w:val="none" w:sz="0" w:space="0" w:color="auto"/>
            <w:right w:val="none" w:sz="0" w:space="0" w:color="auto"/>
          </w:divBdr>
        </w:div>
        <w:div w:id="959191476">
          <w:marLeft w:val="0"/>
          <w:marRight w:val="0"/>
          <w:marTop w:val="0"/>
          <w:marBottom w:val="0"/>
          <w:divBdr>
            <w:top w:val="none" w:sz="0" w:space="0" w:color="auto"/>
            <w:left w:val="none" w:sz="0" w:space="0" w:color="auto"/>
            <w:bottom w:val="none" w:sz="0" w:space="0" w:color="auto"/>
            <w:right w:val="none" w:sz="0" w:space="0" w:color="auto"/>
          </w:divBdr>
        </w:div>
        <w:div w:id="669067777">
          <w:marLeft w:val="0"/>
          <w:marRight w:val="0"/>
          <w:marTop w:val="0"/>
          <w:marBottom w:val="0"/>
          <w:divBdr>
            <w:top w:val="none" w:sz="0" w:space="0" w:color="auto"/>
            <w:left w:val="none" w:sz="0" w:space="0" w:color="auto"/>
            <w:bottom w:val="none" w:sz="0" w:space="0" w:color="auto"/>
            <w:right w:val="none" w:sz="0" w:space="0" w:color="auto"/>
          </w:divBdr>
        </w:div>
        <w:div w:id="1865556133">
          <w:marLeft w:val="0"/>
          <w:marRight w:val="0"/>
          <w:marTop w:val="0"/>
          <w:marBottom w:val="0"/>
          <w:divBdr>
            <w:top w:val="none" w:sz="0" w:space="0" w:color="auto"/>
            <w:left w:val="none" w:sz="0" w:space="0" w:color="auto"/>
            <w:bottom w:val="none" w:sz="0" w:space="0" w:color="auto"/>
            <w:right w:val="none" w:sz="0" w:space="0" w:color="auto"/>
          </w:divBdr>
        </w:div>
        <w:div w:id="893195075">
          <w:marLeft w:val="0"/>
          <w:marRight w:val="0"/>
          <w:marTop w:val="0"/>
          <w:marBottom w:val="0"/>
          <w:divBdr>
            <w:top w:val="none" w:sz="0" w:space="0" w:color="auto"/>
            <w:left w:val="none" w:sz="0" w:space="0" w:color="auto"/>
            <w:bottom w:val="none" w:sz="0" w:space="0" w:color="auto"/>
            <w:right w:val="none" w:sz="0" w:space="0" w:color="auto"/>
          </w:divBdr>
        </w:div>
        <w:div w:id="727727821">
          <w:marLeft w:val="0"/>
          <w:marRight w:val="0"/>
          <w:marTop w:val="0"/>
          <w:marBottom w:val="0"/>
          <w:divBdr>
            <w:top w:val="none" w:sz="0" w:space="0" w:color="auto"/>
            <w:left w:val="none" w:sz="0" w:space="0" w:color="auto"/>
            <w:bottom w:val="none" w:sz="0" w:space="0" w:color="auto"/>
            <w:right w:val="none" w:sz="0" w:space="0" w:color="auto"/>
          </w:divBdr>
        </w:div>
        <w:div w:id="660154745">
          <w:marLeft w:val="0"/>
          <w:marRight w:val="0"/>
          <w:marTop w:val="0"/>
          <w:marBottom w:val="0"/>
          <w:divBdr>
            <w:top w:val="none" w:sz="0" w:space="0" w:color="auto"/>
            <w:left w:val="none" w:sz="0" w:space="0" w:color="auto"/>
            <w:bottom w:val="none" w:sz="0" w:space="0" w:color="auto"/>
            <w:right w:val="none" w:sz="0" w:space="0" w:color="auto"/>
          </w:divBdr>
        </w:div>
        <w:div w:id="156266599">
          <w:marLeft w:val="0"/>
          <w:marRight w:val="0"/>
          <w:marTop w:val="0"/>
          <w:marBottom w:val="0"/>
          <w:divBdr>
            <w:top w:val="none" w:sz="0" w:space="0" w:color="auto"/>
            <w:left w:val="none" w:sz="0" w:space="0" w:color="auto"/>
            <w:bottom w:val="none" w:sz="0" w:space="0" w:color="auto"/>
            <w:right w:val="none" w:sz="0" w:space="0" w:color="auto"/>
          </w:divBdr>
        </w:div>
        <w:div w:id="1279490526">
          <w:marLeft w:val="0"/>
          <w:marRight w:val="0"/>
          <w:marTop w:val="0"/>
          <w:marBottom w:val="0"/>
          <w:divBdr>
            <w:top w:val="none" w:sz="0" w:space="0" w:color="auto"/>
            <w:left w:val="none" w:sz="0" w:space="0" w:color="auto"/>
            <w:bottom w:val="none" w:sz="0" w:space="0" w:color="auto"/>
            <w:right w:val="none" w:sz="0" w:space="0" w:color="auto"/>
          </w:divBdr>
        </w:div>
        <w:div w:id="2008828203">
          <w:marLeft w:val="0"/>
          <w:marRight w:val="0"/>
          <w:marTop w:val="0"/>
          <w:marBottom w:val="0"/>
          <w:divBdr>
            <w:top w:val="none" w:sz="0" w:space="0" w:color="auto"/>
            <w:left w:val="none" w:sz="0" w:space="0" w:color="auto"/>
            <w:bottom w:val="none" w:sz="0" w:space="0" w:color="auto"/>
            <w:right w:val="none" w:sz="0" w:space="0" w:color="auto"/>
          </w:divBdr>
        </w:div>
        <w:div w:id="199708192">
          <w:marLeft w:val="0"/>
          <w:marRight w:val="0"/>
          <w:marTop w:val="0"/>
          <w:marBottom w:val="0"/>
          <w:divBdr>
            <w:top w:val="none" w:sz="0" w:space="0" w:color="auto"/>
            <w:left w:val="none" w:sz="0" w:space="0" w:color="auto"/>
            <w:bottom w:val="none" w:sz="0" w:space="0" w:color="auto"/>
            <w:right w:val="none" w:sz="0" w:space="0" w:color="auto"/>
          </w:divBdr>
        </w:div>
      </w:divsChild>
    </w:div>
    <w:div w:id="1515460872">
      <w:bodyDiv w:val="1"/>
      <w:marLeft w:val="0"/>
      <w:marRight w:val="0"/>
      <w:marTop w:val="0"/>
      <w:marBottom w:val="0"/>
      <w:divBdr>
        <w:top w:val="none" w:sz="0" w:space="0" w:color="auto"/>
        <w:left w:val="none" w:sz="0" w:space="0" w:color="auto"/>
        <w:bottom w:val="none" w:sz="0" w:space="0" w:color="auto"/>
        <w:right w:val="none" w:sz="0" w:space="0" w:color="auto"/>
      </w:divBdr>
    </w:div>
    <w:div w:id="1902401642">
      <w:bodyDiv w:val="1"/>
      <w:marLeft w:val="0"/>
      <w:marRight w:val="0"/>
      <w:marTop w:val="0"/>
      <w:marBottom w:val="0"/>
      <w:divBdr>
        <w:top w:val="none" w:sz="0" w:space="0" w:color="auto"/>
        <w:left w:val="none" w:sz="0" w:space="0" w:color="auto"/>
        <w:bottom w:val="none" w:sz="0" w:space="0" w:color="auto"/>
        <w:right w:val="none" w:sz="0" w:space="0" w:color="auto"/>
      </w:divBdr>
    </w:div>
    <w:div w:id="2008551277">
      <w:bodyDiv w:val="1"/>
      <w:marLeft w:val="0"/>
      <w:marRight w:val="0"/>
      <w:marTop w:val="0"/>
      <w:marBottom w:val="0"/>
      <w:divBdr>
        <w:top w:val="none" w:sz="0" w:space="0" w:color="auto"/>
        <w:left w:val="none" w:sz="0" w:space="0" w:color="auto"/>
        <w:bottom w:val="none" w:sz="0" w:space="0" w:color="auto"/>
        <w:right w:val="none" w:sz="0" w:space="0" w:color="auto"/>
      </w:divBdr>
      <w:divsChild>
        <w:div w:id="502088095">
          <w:marLeft w:val="0"/>
          <w:marRight w:val="0"/>
          <w:marTop w:val="0"/>
          <w:marBottom w:val="0"/>
          <w:divBdr>
            <w:top w:val="none" w:sz="0" w:space="0" w:color="auto"/>
            <w:left w:val="none" w:sz="0" w:space="0" w:color="auto"/>
            <w:bottom w:val="none" w:sz="0" w:space="0" w:color="auto"/>
            <w:right w:val="none" w:sz="0" w:space="0" w:color="auto"/>
          </w:divBdr>
        </w:div>
        <w:div w:id="442842572">
          <w:marLeft w:val="0"/>
          <w:marRight w:val="0"/>
          <w:marTop w:val="0"/>
          <w:marBottom w:val="0"/>
          <w:divBdr>
            <w:top w:val="none" w:sz="0" w:space="0" w:color="auto"/>
            <w:left w:val="none" w:sz="0" w:space="0" w:color="auto"/>
            <w:bottom w:val="none" w:sz="0" w:space="0" w:color="auto"/>
            <w:right w:val="none" w:sz="0" w:space="0" w:color="auto"/>
          </w:divBdr>
        </w:div>
        <w:div w:id="1181696261">
          <w:marLeft w:val="0"/>
          <w:marRight w:val="0"/>
          <w:marTop w:val="0"/>
          <w:marBottom w:val="0"/>
          <w:divBdr>
            <w:top w:val="none" w:sz="0" w:space="0" w:color="auto"/>
            <w:left w:val="none" w:sz="0" w:space="0" w:color="auto"/>
            <w:bottom w:val="none" w:sz="0" w:space="0" w:color="auto"/>
            <w:right w:val="none" w:sz="0" w:space="0" w:color="auto"/>
          </w:divBdr>
        </w:div>
      </w:divsChild>
    </w:div>
    <w:div w:id="209165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DC220-921E-4D73-9E67-FFF3AB4C7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8</Pages>
  <Words>2815</Words>
  <Characters>15279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PG-Sheehan, Lara</dc:creator>
  <cp:keywords/>
  <dc:description/>
  <cp:lastModifiedBy>Madeleine Cirdei</cp:lastModifiedBy>
  <cp:revision>461</cp:revision>
  <dcterms:created xsi:type="dcterms:W3CDTF">2020-09-25T08:47:00Z</dcterms:created>
  <dcterms:modified xsi:type="dcterms:W3CDTF">2020-11-16T16:50:00Z</dcterms:modified>
</cp:coreProperties>
</file>