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E5001" w:rsidRDefault="00000000">
      <w:pPr>
        <w:ind w:left="-426"/>
        <w:rPr>
          <w:rFonts w:ascii="Book Antiqua" w:eastAsia="Book Antiqua" w:hAnsi="Book Antiqua" w:cs="Book Antiqua"/>
          <w:smallCaps/>
          <w:sz w:val="40"/>
          <w:szCs w:val="40"/>
        </w:rPr>
      </w:pPr>
      <w:r>
        <w:rPr>
          <w:rFonts w:ascii="Book Antiqua" w:eastAsia="Book Antiqua" w:hAnsi="Book Antiqua" w:cs="Book Antiqua"/>
          <w:noProof/>
        </w:rPr>
        <w:drawing>
          <wp:inline distT="0" distB="0" distL="0" distR="0" wp14:anchorId="281E9E54" wp14:editId="07777777">
            <wp:extent cx="2940398" cy="68566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398" cy="685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B698D11" w:rsidR="00AE5001" w:rsidRDefault="30F39644">
      <w:pPr>
        <w:ind w:left="-426"/>
        <w:jc w:val="center"/>
        <w:rPr>
          <w:rFonts w:ascii="Book Antiqua" w:eastAsia="Book Antiqua" w:hAnsi="Book Antiqua" w:cs="Book Antiqua"/>
          <w:smallCaps/>
          <w:sz w:val="40"/>
          <w:szCs w:val="40"/>
        </w:rPr>
      </w:pPr>
      <w:r w:rsidRPr="31EE2116">
        <w:rPr>
          <w:rFonts w:ascii="Book Antiqua" w:eastAsia="Book Antiqua" w:hAnsi="Book Antiqua" w:cs="Book Antiqua"/>
          <w:smallCaps/>
          <w:sz w:val="40"/>
          <w:szCs w:val="40"/>
        </w:rPr>
        <w:t>Access to the Bar Awards</w:t>
      </w:r>
    </w:p>
    <w:p w14:paraId="00000003" w14:textId="155F5F29" w:rsidR="00AE5001" w:rsidRDefault="30F39644">
      <w:pPr>
        <w:ind w:left="-426"/>
        <w:jc w:val="center"/>
        <w:rPr>
          <w:rFonts w:ascii="Book Antiqua" w:eastAsia="Book Antiqua" w:hAnsi="Book Antiqua" w:cs="Book Antiqua"/>
          <w:smallCaps/>
          <w:sz w:val="40"/>
          <w:szCs w:val="40"/>
        </w:rPr>
      </w:pPr>
      <w:r w:rsidRPr="30F39644">
        <w:rPr>
          <w:rFonts w:ascii="Book Antiqua" w:eastAsia="Book Antiqua" w:hAnsi="Book Antiqua" w:cs="Book Antiqua"/>
          <w:smallCaps/>
          <w:sz w:val="40"/>
          <w:szCs w:val="40"/>
        </w:rPr>
        <w:t>Guidance</w:t>
      </w:r>
      <w:r w:rsidR="1B0D63E2" w:rsidRPr="30F39644">
        <w:rPr>
          <w:rFonts w:ascii="Book Antiqua" w:eastAsia="Book Antiqua" w:hAnsi="Book Antiqua" w:cs="Book Antiqua"/>
          <w:smallCaps/>
          <w:sz w:val="40"/>
          <w:szCs w:val="40"/>
        </w:rPr>
        <w:t xml:space="preserve"> for Students</w:t>
      </w:r>
    </w:p>
    <w:p w14:paraId="00000004" w14:textId="77777777" w:rsidR="00AE5001" w:rsidRDefault="00AE5001">
      <w:pPr>
        <w:ind w:left="-426"/>
        <w:jc w:val="center"/>
        <w:rPr>
          <w:rFonts w:ascii="Book Antiqua" w:eastAsia="Book Antiqua" w:hAnsi="Book Antiqua" w:cs="Book Antiqua"/>
          <w:smallCaps/>
          <w:sz w:val="40"/>
          <w:szCs w:val="40"/>
        </w:rPr>
      </w:pPr>
    </w:p>
    <w:p w14:paraId="00000005" w14:textId="77777777" w:rsidR="00AE5001" w:rsidRDefault="00000000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Background</w:t>
      </w:r>
    </w:p>
    <w:p w14:paraId="00000006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07" w14:textId="77777777" w:rsidR="00AE5001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Middle Temple Access to the Bar Awards are an example of how we aim to reach able students from backgrounds which do not traditionally encourage aspirations for a career at the Bar and help them to make an informed choice about their opportunities. </w:t>
      </w:r>
    </w:p>
    <w:p w14:paraId="00000008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09" w14:textId="44D2685D" w:rsidR="00AE5001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Funded by the donations of senior members of the Inn, the scheme provides two funded weeks (£</w:t>
      </w:r>
      <w:r w:rsidR="004F473F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50 per week) of work experience every summer for up to thirty undergraduates from disadvantaged backgrounds. One week is spent marshalling (</w:t>
      </w:r>
      <w:proofErr w:type="gramStart"/>
      <w:r>
        <w:rPr>
          <w:rFonts w:ascii="Arial" w:eastAsia="Arial" w:hAnsi="Arial" w:cs="Arial"/>
        </w:rPr>
        <w:t>i.e.</w:t>
      </w:r>
      <w:proofErr w:type="gramEnd"/>
      <w:r>
        <w:rPr>
          <w:rFonts w:ascii="Arial" w:eastAsia="Arial" w:hAnsi="Arial" w:cs="Arial"/>
        </w:rPr>
        <w:t xml:space="preserve"> shadowing a judge in court) and the other week in Chambers with a barrister.</w:t>
      </w:r>
    </w:p>
    <w:p w14:paraId="0000000A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0B" w14:textId="77777777" w:rsidR="00AE5001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Where possible Chambers and Courts close to the candidate’s home are selected for the scheme. </w:t>
      </w:r>
      <w:proofErr w:type="gramStart"/>
      <w:r>
        <w:rPr>
          <w:rFonts w:ascii="Arial" w:eastAsia="Arial" w:hAnsi="Arial" w:cs="Arial"/>
        </w:rPr>
        <w:t>However</w:t>
      </w:r>
      <w:proofErr w:type="gramEnd"/>
      <w:r>
        <w:rPr>
          <w:rFonts w:ascii="Arial" w:eastAsia="Arial" w:hAnsi="Arial" w:cs="Arial"/>
        </w:rPr>
        <w:t xml:space="preserve"> where necessary the Inn will provide accommodation to complete the scheme in London. Candidates will also receive invitations to networking events.</w:t>
      </w:r>
    </w:p>
    <w:p w14:paraId="0000000C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0D" w14:textId="77777777" w:rsidR="00AE5001" w:rsidRDefault="00000000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Eligibility</w:t>
      </w:r>
    </w:p>
    <w:p w14:paraId="0000000E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0F" w14:textId="77777777" w:rsidR="00AE5001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scheme is open to undergraduate and postgraduate students </w:t>
      </w:r>
      <w:proofErr w:type="gramStart"/>
      <w:r>
        <w:rPr>
          <w:rFonts w:ascii="Arial" w:eastAsia="Arial" w:hAnsi="Arial" w:cs="Arial"/>
        </w:rPr>
        <w:t>who;</w:t>
      </w:r>
      <w:proofErr w:type="gramEnd"/>
    </w:p>
    <w:p w14:paraId="00000010" w14:textId="77777777" w:rsidR="00AE5001" w:rsidRDefault="00AE5001">
      <w:pPr>
        <w:jc w:val="both"/>
        <w:rPr>
          <w:rFonts w:ascii="Arial" w:eastAsia="Arial" w:hAnsi="Arial" w:cs="Arial"/>
        </w:rPr>
      </w:pPr>
    </w:p>
    <w:p w14:paraId="00000012" w14:textId="5DF05AB2" w:rsidR="00AE5001" w:rsidRDefault="30F39644" w:rsidP="31EE2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31EE2116">
        <w:rPr>
          <w:rFonts w:ascii="Arial" w:eastAsia="Arial" w:hAnsi="Arial" w:cs="Arial"/>
          <w:color w:val="000000"/>
        </w:rPr>
        <w:t>Are available to participate</w:t>
      </w:r>
      <w:r w:rsidR="004F473F">
        <w:rPr>
          <w:rFonts w:ascii="Arial" w:eastAsia="Arial" w:hAnsi="Arial" w:cs="Arial"/>
          <w:color w:val="000000"/>
        </w:rPr>
        <w:t xml:space="preserve"> in the last week of June and first week of July</w:t>
      </w:r>
      <w:r w:rsidRPr="31EE2116">
        <w:rPr>
          <w:rFonts w:ascii="Arial" w:eastAsia="Arial" w:hAnsi="Arial" w:cs="Arial"/>
          <w:color w:val="000000"/>
        </w:rPr>
        <w:t>.</w:t>
      </w:r>
      <w:r w:rsidR="61D2EFFA" w:rsidRPr="31EE2116">
        <w:rPr>
          <w:rFonts w:ascii="Arial" w:eastAsia="Arial" w:hAnsi="Arial" w:cs="Arial"/>
          <w:color w:val="000000"/>
        </w:rPr>
        <w:t xml:space="preserve"> </w:t>
      </w:r>
    </w:p>
    <w:p w14:paraId="00000013" w14:textId="77777777" w:rsidR="00AE50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are in the second, third or fourth year of a qualifying law degree, or taking the Graduate Diploma in Law or an equivalent conversion course. Postgraduates with a qualifying law degree may also apply.</w:t>
      </w:r>
    </w:p>
    <w:p w14:paraId="00000014" w14:textId="77777777" w:rsidR="00AE5001" w:rsidRDefault="00AE5001">
      <w:pPr>
        <w:ind w:left="284" w:hanging="491"/>
        <w:jc w:val="both"/>
        <w:rPr>
          <w:rFonts w:ascii="Arial" w:eastAsia="Arial" w:hAnsi="Arial" w:cs="Arial"/>
        </w:rPr>
      </w:pPr>
    </w:p>
    <w:p w14:paraId="00000015" w14:textId="77777777" w:rsidR="00AE50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have little or no family history of higher or professional education.</w:t>
      </w:r>
    </w:p>
    <w:p w14:paraId="00000016" w14:textId="77777777" w:rsidR="00AE5001" w:rsidRDefault="00AE5001">
      <w:pPr>
        <w:ind w:left="284" w:hanging="491"/>
        <w:jc w:val="both"/>
        <w:rPr>
          <w:rFonts w:ascii="Arial" w:eastAsia="Arial" w:hAnsi="Arial" w:cs="Arial"/>
        </w:rPr>
      </w:pPr>
    </w:p>
    <w:p w14:paraId="00000017" w14:textId="77777777" w:rsidR="00AE50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completed secondary education in a state school. (In exceptional circumstances, students who attended secondary education in a fee-paying school may be considered.)</w:t>
      </w:r>
    </w:p>
    <w:p w14:paraId="00000018" w14:textId="77777777" w:rsidR="00AE5001" w:rsidRDefault="00AE5001">
      <w:pPr>
        <w:ind w:left="284" w:hanging="491"/>
        <w:jc w:val="both"/>
        <w:rPr>
          <w:rFonts w:ascii="Arial" w:eastAsia="Arial" w:hAnsi="Arial" w:cs="Arial"/>
        </w:rPr>
      </w:pPr>
    </w:p>
    <w:p w14:paraId="00000019" w14:textId="77777777" w:rsidR="00AE50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are not a member of the </w:t>
      </w:r>
      <w:proofErr w:type="spellStart"/>
      <w:r>
        <w:rPr>
          <w:rFonts w:ascii="Arial" w:eastAsia="Arial" w:hAnsi="Arial" w:cs="Arial"/>
          <w:color w:val="000000"/>
        </w:rPr>
        <w:t>Honourable</w:t>
      </w:r>
      <w:proofErr w:type="spellEnd"/>
      <w:r>
        <w:rPr>
          <w:rFonts w:ascii="Arial" w:eastAsia="Arial" w:hAnsi="Arial" w:cs="Arial"/>
          <w:color w:val="000000"/>
        </w:rPr>
        <w:t xml:space="preserve"> Society of Inner Temple, The </w:t>
      </w:r>
      <w:proofErr w:type="spellStart"/>
      <w:r>
        <w:rPr>
          <w:rFonts w:ascii="Arial" w:eastAsia="Arial" w:hAnsi="Arial" w:cs="Arial"/>
          <w:color w:val="000000"/>
        </w:rPr>
        <w:t>Honourable</w:t>
      </w:r>
      <w:proofErr w:type="spellEnd"/>
      <w:r>
        <w:rPr>
          <w:rFonts w:ascii="Arial" w:eastAsia="Arial" w:hAnsi="Arial" w:cs="Arial"/>
          <w:color w:val="000000"/>
        </w:rPr>
        <w:t xml:space="preserve"> Society of Lincoln’s Inn or the </w:t>
      </w:r>
      <w:proofErr w:type="spellStart"/>
      <w:r>
        <w:rPr>
          <w:rFonts w:ascii="Arial" w:eastAsia="Arial" w:hAnsi="Arial" w:cs="Arial"/>
          <w:color w:val="000000"/>
        </w:rPr>
        <w:t>Honourable</w:t>
      </w:r>
      <w:proofErr w:type="spellEnd"/>
      <w:r>
        <w:rPr>
          <w:rFonts w:ascii="Arial" w:eastAsia="Arial" w:hAnsi="Arial" w:cs="Arial"/>
          <w:color w:val="000000"/>
        </w:rPr>
        <w:t xml:space="preserve"> Society of Gray’s Inn. </w:t>
      </w:r>
    </w:p>
    <w:p w14:paraId="0000001A" w14:textId="77777777" w:rsidR="00AE5001" w:rsidRDefault="00AE5001">
      <w:pPr>
        <w:jc w:val="both"/>
        <w:rPr>
          <w:rFonts w:ascii="Arial" w:eastAsia="Arial" w:hAnsi="Arial" w:cs="Arial"/>
        </w:rPr>
      </w:pPr>
    </w:p>
    <w:p w14:paraId="0000001B" w14:textId="77777777" w:rsidR="00AE5001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Note: Recipients of the Inner Temple Pegasus Access and Support Scheme will not be eligible to receive an Access to the Bar Award. </w:t>
      </w:r>
    </w:p>
    <w:p w14:paraId="0000001C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1D" w14:textId="77777777" w:rsidR="00AE5001" w:rsidRDefault="00AE5001">
      <w:pPr>
        <w:ind w:left="-426"/>
        <w:jc w:val="both"/>
        <w:rPr>
          <w:rFonts w:ascii="Arial" w:eastAsia="Arial" w:hAnsi="Arial" w:cs="Arial"/>
          <w:b/>
        </w:rPr>
      </w:pPr>
    </w:p>
    <w:p w14:paraId="0000001E" w14:textId="77777777" w:rsidR="00AE5001" w:rsidRDefault="00000000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Criteria for the making of an award</w:t>
      </w:r>
    </w:p>
    <w:p w14:paraId="0000001F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20" w14:textId="77777777" w:rsidR="00AE5001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criteria for the making of an award are as follows:</w:t>
      </w:r>
    </w:p>
    <w:p w14:paraId="00000021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22" w14:textId="77777777" w:rsidR="00AE500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 profile indicating that the student is likely to be awarded a good upper second or first class degree, or has already been awarded one if the student is a graduate undertaking the conversion course; and</w:t>
      </w:r>
    </w:p>
    <w:p w14:paraId="00000023" w14:textId="77777777" w:rsidR="00AE5001" w:rsidRDefault="00AE5001">
      <w:pPr>
        <w:jc w:val="both"/>
        <w:rPr>
          <w:rFonts w:ascii="Arial" w:eastAsia="Arial" w:hAnsi="Arial" w:cs="Arial"/>
        </w:rPr>
      </w:pPr>
    </w:p>
    <w:p w14:paraId="00000024" w14:textId="77777777" w:rsidR="00AE500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 good performance in mooting or debating activity at university or at school or other evidence of potential to be a successful advocate; and</w:t>
      </w:r>
    </w:p>
    <w:p w14:paraId="00000025" w14:textId="77777777" w:rsidR="00AE5001" w:rsidRDefault="00AE5001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" w:eastAsia="Arial" w:hAnsi="Arial" w:cs="Arial"/>
          <w:color w:val="000000"/>
        </w:rPr>
      </w:pPr>
    </w:p>
    <w:p w14:paraId="00000026" w14:textId="77777777" w:rsidR="00AE500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Good references as to their academic and intellectual ability and other relevant qualities such as self-confidence, strong communication skills and motivation and determination for a career at the Bar from two of their university tutors.</w:t>
      </w:r>
    </w:p>
    <w:p w14:paraId="00000027" w14:textId="77777777" w:rsidR="00AE5001" w:rsidRDefault="00AE50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00000028" w14:textId="77777777" w:rsidR="00AE500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Students who have limited experience of the Bar thus far and meet the previous criteria are preferred.</w:t>
      </w:r>
    </w:p>
    <w:p w14:paraId="00000029" w14:textId="77777777" w:rsidR="00AE5001" w:rsidRDefault="00AE5001">
      <w:pPr>
        <w:ind w:left="426"/>
        <w:jc w:val="both"/>
        <w:rPr>
          <w:rFonts w:ascii="Arial" w:eastAsia="Arial" w:hAnsi="Arial" w:cs="Arial"/>
        </w:rPr>
      </w:pPr>
    </w:p>
    <w:p w14:paraId="0000002A" w14:textId="77777777" w:rsidR="00AE5001" w:rsidRDefault="00AE5001">
      <w:pPr>
        <w:jc w:val="both"/>
        <w:rPr>
          <w:rFonts w:ascii="Arial" w:eastAsia="Arial" w:hAnsi="Arial" w:cs="Arial"/>
        </w:rPr>
      </w:pPr>
    </w:p>
    <w:p w14:paraId="0000002B" w14:textId="77777777" w:rsidR="00AE5001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Students should be aware that an unsuccessful application to Access to the Bar is </w:t>
      </w:r>
      <w:r>
        <w:rPr>
          <w:rFonts w:ascii="Arial" w:eastAsia="Arial" w:hAnsi="Arial" w:cs="Arial"/>
          <w:b/>
          <w:i/>
        </w:rPr>
        <w:t>not</w:t>
      </w:r>
      <w:r>
        <w:rPr>
          <w:rFonts w:ascii="Arial" w:eastAsia="Arial" w:hAnsi="Arial" w:cs="Arial"/>
        </w:rPr>
        <w:t xml:space="preserve"> an indictment of their ability and will not affect their chances of being awarded a Middle Temple BPTC Scholarship - which is awarded on merit alone.</w:t>
      </w:r>
    </w:p>
    <w:p w14:paraId="0000002C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2D" w14:textId="77777777" w:rsidR="00AE5001" w:rsidRDefault="00000000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Application Process</w:t>
      </w:r>
    </w:p>
    <w:p w14:paraId="0000002E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2F" w14:textId="77777777" w:rsidR="00AE5001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Each university that participates in the scheme will carry out the initial shortlisting and will submit selected applications to the Middle Temple.</w:t>
      </w:r>
    </w:p>
    <w:p w14:paraId="00000030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31" w14:textId="77777777" w:rsidR="00AE5001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Each application must include the following:</w:t>
      </w:r>
    </w:p>
    <w:p w14:paraId="00000032" w14:textId="77777777" w:rsidR="00AE50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Application form, completed, signed, and dated.</w:t>
      </w:r>
    </w:p>
    <w:p w14:paraId="00000033" w14:textId="77777777" w:rsidR="00AE50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Transcripts of degree examination results to date</w:t>
      </w:r>
    </w:p>
    <w:p w14:paraId="00000034" w14:textId="77777777" w:rsidR="00AE50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Two references from university tutors. [It is up to the Department whether referees should be approached by a member of the </w:t>
      </w:r>
      <w:proofErr w:type="gramStart"/>
      <w:r>
        <w:rPr>
          <w:rFonts w:ascii="Arial" w:eastAsia="Arial" w:hAnsi="Arial" w:cs="Arial"/>
          <w:color w:val="000000"/>
        </w:rPr>
        <w:t>Faculty</w:t>
      </w:r>
      <w:proofErr w:type="gramEnd"/>
      <w:r>
        <w:rPr>
          <w:rFonts w:ascii="Arial" w:eastAsia="Arial" w:hAnsi="Arial" w:cs="Arial"/>
          <w:color w:val="000000"/>
        </w:rPr>
        <w:t xml:space="preserve"> or by the student, but either way, they need to be submitted together with the application.]</w:t>
      </w:r>
    </w:p>
    <w:p w14:paraId="00000035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36" w14:textId="77777777" w:rsidR="00AE5001" w:rsidRDefault="00000000">
      <w:pPr>
        <w:ind w:left="-426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(* please note that where an institution has multiple study </w:t>
      </w:r>
      <w:proofErr w:type="spellStart"/>
      <w:r>
        <w:rPr>
          <w:rFonts w:ascii="Arial" w:eastAsia="Arial" w:hAnsi="Arial" w:cs="Arial"/>
          <w:i/>
        </w:rPr>
        <w:t>centres</w:t>
      </w:r>
      <w:proofErr w:type="spellEnd"/>
      <w:r>
        <w:rPr>
          <w:rFonts w:ascii="Arial" w:eastAsia="Arial" w:hAnsi="Arial" w:cs="Arial"/>
          <w:i/>
        </w:rPr>
        <w:t>, one application will be accepted from each region)</w:t>
      </w:r>
    </w:p>
    <w:p w14:paraId="00000037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38" w14:textId="77777777" w:rsidR="00AE5001" w:rsidRDefault="00000000">
      <w:pPr>
        <w:ind w:left="-426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Students should submit their applications to, </w:t>
      </w:r>
    </w:p>
    <w:p w14:paraId="00000039" w14:textId="77777777" w:rsidR="00AE5001" w:rsidRDefault="00000000">
      <w:pPr>
        <w:ind w:left="-426"/>
        <w:jc w:val="both"/>
        <w:rPr>
          <w:rFonts w:ascii="Arial" w:eastAsia="Arial" w:hAnsi="Arial" w:cs="Arial"/>
          <w:i/>
          <w:sz w:val="36"/>
          <w:szCs w:val="36"/>
          <w:highlight w:val="yellow"/>
        </w:rPr>
      </w:pPr>
      <w:r>
        <w:rPr>
          <w:rFonts w:ascii="Arial" w:eastAsia="Arial" w:hAnsi="Arial" w:cs="Arial"/>
          <w:sz w:val="36"/>
          <w:szCs w:val="36"/>
        </w:rPr>
        <w:t>&lt;</w:t>
      </w:r>
      <w:r>
        <w:rPr>
          <w:rFonts w:ascii="Arial" w:eastAsia="Arial" w:hAnsi="Arial" w:cs="Arial"/>
          <w:i/>
          <w:sz w:val="36"/>
          <w:szCs w:val="36"/>
          <w:highlight w:val="yellow"/>
        </w:rPr>
        <w:t xml:space="preserve">member of faculty&gt; </w:t>
      </w:r>
    </w:p>
    <w:p w14:paraId="0000003A" w14:textId="77777777" w:rsidR="00AE5001" w:rsidRDefault="00000000">
      <w:pPr>
        <w:ind w:left="-426"/>
        <w:jc w:val="both"/>
        <w:rPr>
          <w:rFonts w:ascii="Arial" w:eastAsia="Arial" w:hAnsi="Arial" w:cs="Arial"/>
          <w:i/>
          <w:sz w:val="36"/>
          <w:szCs w:val="36"/>
          <w:highlight w:val="yellow"/>
        </w:rPr>
      </w:pPr>
      <w:r>
        <w:rPr>
          <w:rFonts w:ascii="Arial" w:eastAsia="Arial" w:hAnsi="Arial" w:cs="Arial"/>
          <w:i/>
          <w:sz w:val="36"/>
          <w:szCs w:val="36"/>
          <w:highlight w:val="yellow"/>
        </w:rPr>
        <w:t xml:space="preserve">via &lt;email&gt; </w:t>
      </w:r>
    </w:p>
    <w:p w14:paraId="0000003B" w14:textId="77777777" w:rsidR="00AE5001" w:rsidRDefault="00000000">
      <w:pPr>
        <w:ind w:left="-426"/>
        <w:jc w:val="both"/>
        <w:rPr>
          <w:rFonts w:ascii="Arial" w:eastAsia="Arial" w:hAnsi="Arial" w:cs="Arial"/>
          <w:i/>
          <w:sz w:val="36"/>
          <w:szCs w:val="36"/>
          <w:highlight w:val="yellow"/>
        </w:rPr>
      </w:pPr>
      <w:r>
        <w:rPr>
          <w:rFonts w:ascii="Arial" w:eastAsia="Arial" w:hAnsi="Arial" w:cs="Arial"/>
          <w:i/>
          <w:sz w:val="36"/>
          <w:szCs w:val="36"/>
          <w:highlight w:val="yellow"/>
        </w:rPr>
        <w:t>by &lt;internal deadline&gt;</w:t>
      </w:r>
    </w:p>
    <w:p w14:paraId="0000003C" w14:textId="77777777" w:rsidR="00AE5001" w:rsidRDefault="00000000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NOTE THAT INCOMPLETE APPLICATIONS CANNOT BE CONSIDERED.</w:t>
      </w:r>
    </w:p>
    <w:p w14:paraId="0000003D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3E" w14:textId="77777777" w:rsidR="00AE5001" w:rsidRDefault="00000000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Shortlisting and Interview</w:t>
      </w:r>
    </w:p>
    <w:p w14:paraId="0000003F" w14:textId="16D2713E" w:rsidR="00AE5001" w:rsidRDefault="30F39644" w:rsidP="30F39644">
      <w:pPr>
        <w:ind w:left="-426"/>
        <w:jc w:val="both"/>
        <w:rPr>
          <w:rFonts w:ascii="Arial" w:eastAsia="Arial" w:hAnsi="Arial" w:cs="Arial"/>
        </w:rPr>
      </w:pPr>
      <w:r w:rsidRPr="30F39644">
        <w:rPr>
          <w:rFonts w:ascii="Arial" w:eastAsia="Arial" w:hAnsi="Arial" w:cs="Arial"/>
        </w:rPr>
        <w:t xml:space="preserve">Applications will be shortlisted by the Inn and </w:t>
      </w:r>
      <w:proofErr w:type="gramStart"/>
      <w:r w:rsidRPr="30F39644">
        <w:rPr>
          <w:rFonts w:ascii="Arial" w:eastAsia="Arial" w:hAnsi="Arial" w:cs="Arial"/>
        </w:rPr>
        <w:t>a number of</w:t>
      </w:r>
      <w:proofErr w:type="gramEnd"/>
      <w:r w:rsidRPr="30F39644">
        <w:rPr>
          <w:rFonts w:ascii="Arial" w:eastAsia="Arial" w:hAnsi="Arial" w:cs="Arial"/>
        </w:rPr>
        <w:t xml:space="preserve"> applicants will be invited to attend an interview at Middle Temple.  Reasonable travel expenses (up to £65) will be reimbursed.</w:t>
      </w:r>
      <w:r w:rsidR="2477A260" w:rsidRPr="30F39644">
        <w:rPr>
          <w:rFonts w:ascii="Arial" w:eastAsia="Arial" w:hAnsi="Arial" w:cs="Arial"/>
        </w:rPr>
        <w:t xml:space="preserve"> If travel is not possible due to </w:t>
      </w:r>
      <w:proofErr w:type="gramStart"/>
      <w:r w:rsidR="2477A260" w:rsidRPr="30F39644">
        <w:rPr>
          <w:rFonts w:ascii="Arial" w:eastAsia="Arial" w:hAnsi="Arial" w:cs="Arial"/>
        </w:rPr>
        <w:t>coronavirus</w:t>
      </w:r>
      <w:proofErr w:type="gramEnd"/>
      <w:r w:rsidR="2477A260" w:rsidRPr="30F39644">
        <w:rPr>
          <w:rFonts w:ascii="Arial" w:eastAsia="Arial" w:hAnsi="Arial" w:cs="Arial"/>
        </w:rPr>
        <w:t xml:space="preserve"> then the interviews will be conducted online.</w:t>
      </w:r>
    </w:p>
    <w:p w14:paraId="00000040" w14:textId="77777777" w:rsidR="00AE5001" w:rsidRDefault="00AE5001">
      <w:pPr>
        <w:ind w:left="-426"/>
        <w:jc w:val="both"/>
        <w:rPr>
          <w:rFonts w:ascii="Arial" w:eastAsia="Arial" w:hAnsi="Arial" w:cs="Arial"/>
        </w:rPr>
      </w:pPr>
    </w:p>
    <w:p w14:paraId="00000041" w14:textId="357945A2" w:rsidR="00AE5001" w:rsidRDefault="30F39644">
      <w:pPr>
        <w:ind w:left="-426"/>
        <w:jc w:val="both"/>
        <w:rPr>
          <w:rFonts w:ascii="Arial" w:eastAsia="Arial" w:hAnsi="Arial" w:cs="Arial"/>
        </w:rPr>
      </w:pPr>
      <w:r w:rsidRPr="31EE2116">
        <w:rPr>
          <w:rFonts w:ascii="Arial" w:eastAsia="Arial" w:hAnsi="Arial" w:cs="Arial"/>
        </w:rPr>
        <w:t xml:space="preserve">Shortlisted applicants will be interviewed by </w:t>
      </w:r>
      <w:r w:rsidR="004F473F" w:rsidRPr="31EE2116">
        <w:rPr>
          <w:rFonts w:ascii="Arial" w:eastAsia="Arial" w:hAnsi="Arial" w:cs="Arial"/>
        </w:rPr>
        <w:t>practicing</w:t>
      </w:r>
      <w:r w:rsidRPr="31EE2116">
        <w:rPr>
          <w:rFonts w:ascii="Arial" w:eastAsia="Arial" w:hAnsi="Arial" w:cs="Arial"/>
        </w:rPr>
        <w:t xml:space="preserve"> members of the Middle Temple in March/April 202</w:t>
      </w:r>
      <w:r w:rsidR="33ED3364" w:rsidRPr="31EE2116">
        <w:rPr>
          <w:rFonts w:ascii="Arial" w:eastAsia="Arial" w:hAnsi="Arial" w:cs="Arial"/>
        </w:rPr>
        <w:t>2</w:t>
      </w:r>
      <w:r w:rsidRPr="31EE2116">
        <w:rPr>
          <w:rFonts w:ascii="Arial" w:eastAsia="Arial" w:hAnsi="Arial" w:cs="Arial"/>
        </w:rPr>
        <w:t>.</w:t>
      </w:r>
    </w:p>
    <w:sectPr w:rsidR="00AE500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762"/>
    <w:multiLevelType w:val="multilevel"/>
    <w:tmpl w:val="E3B2E10A"/>
    <w:lvl w:ilvl="0">
      <w:start w:val="1"/>
      <w:numFmt w:val="bullet"/>
      <w:lvlText w:val="•"/>
      <w:lvlJc w:val="left"/>
      <w:pPr>
        <w:ind w:left="-432" w:hanging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F34A5B"/>
    <w:multiLevelType w:val="multilevel"/>
    <w:tmpl w:val="7BB42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375AD2"/>
    <w:multiLevelType w:val="multilevel"/>
    <w:tmpl w:val="D28E4410"/>
    <w:lvl w:ilvl="0">
      <w:start w:val="1"/>
      <w:numFmt w:val="decimal"/>
      <w:lvlText w:val="%1."/>
      <w:lvlJc w:val="left"/>
      <w:pPr>
        <w:ind w:left="-6" w:hanging="42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 w16cid:durableId="1550996844">
    <w:abstractNumId w:val="1"/>
  </w:num>
  <w:num w:numId="2" w16cid:durableId="823355916">
    <w:abstractNumId w:val="2"/>
  </w:num>
  <w:num w:numId="3" w16cid:durableId="1112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01"/>
    <w:rsid w:val="004F473F"/>
    <w:rsid w:val="008F6A68"/>
    <w:rsid w:val="00AE5001"/>
    <w:rsid w:val="0430E54A"/>
    <w:rsid w:val="131DD54A"/>
    <w:rsid w:val="162C6D0C"/>
    <w:rsid w:val="1B0D63E2"/>
    <w:rsid w:val="2477A260"/>
    <w:rsid w:val="24D530E4"/>
    <w:rsid w:val="2F105C49"/>
    <w:rsid w:val="30F39644"/>
    <w:rsid w:val="31EE2116"/>
    <w:rsid w:val="33ED3364"/>
    <w:rsid w:val="37EBD3CE"/>
    <w:rsid w:val="3CB230C2"/>
    <w:rsid w:val="3CFCC0D6"/>
    <w:rsid w:val="4F0F055D"/>
    <w:rsid w:val="51161C30"/>
    <w:rsid w:val="5413D178"/>
    <w:rsid w:val="5825F4B4"/>
    <w:rsid w:val="61D2EFFA"/>
    <w:rsid w:val="66E831CD"/>
    <w:rsid w:val="66FF9FAC"/>
    <w:rsid w:val="7EB0E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F10C"/>
  <w15:docId w15:val="{275C590B-DA31-423F-BBA5-B6C121C7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Frost</dc:creator>
  <cp:lastModifiedBy>Richard Frost</cp:lastModifiedBy>
  <cp:revision>2</cp:revision>
  <dcterms:created xsi:type="dcterms:W3CDTF">2022-11-11T09:45:00Z</dcterms:created>
  <dcterms:modified xsi:type="dcterms:W3CDTF">2022-11-11T09:45:00Z</dcterms:modified>
</cp:coreProperties>
</file>